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FB564" w14:textId="77777777" w:rsidR="00D23C04" w:rsidRPr="00D23C04" w:rsidRDefault="00D23C04" w:rsidP="00D23C04">
      <w:pPr>
        <w:spacing w:before="100" w:beforeAutospacing="1" w:after="100" w:afterAutospacing="1"/>
        <w:jc w:val="center"/>
        <w:rPr>
          <w:rFonts w:ascii="Georgia" w:hAnsi="Georgia"/>
          <w:b/>
          <w:bCs/>
          <w:sz w:val="32"/>
          <w:szCs w:val="32"/>
        </w:rPr>
      </w:pPr>
      <w:bookmarkStart w:id="0" w:name="_Hlk218677162"/>
    </w:p>
    <w:p w14:paraId="156F3CF7" w14:textId="532D6500" w:rsidR="00D23C04" w:rsidRDefault="00D23C04" w:rsidP="00D23C04">
      <w:pPr>
        <w:spacing w:before="100" w:beforeAutospacing="1" w:after="100" w:afterAutospacing="1"/>
        <w:jc w:val="center"/>
        <w:rPr>
          <w:rFonts w:ascii="Georgia" w:hAnsi="Georgia"/>
          <w:b/>
          <w:bCs/>
          <w:sz w:val="32"/>
          <w:szCs w:val="32"/>
        </w:rPr>
      </w:pPr>
      <w:r w:rsidRPr="00D23C04">
        <w:rPr>
          <w:rFonts w:ascii="Georgia" w:hAnsi="Georgia"/>
          <w:b/>
          <w:bCs/>
          <w:sz w:val="32"/>
          <w:szCs w:val="32"/>
        </w:rPr>
        <w:t>Inox Clean Energy ties up ~ ₹3,100 crore in equity</w:t>
      </w:r>
    </w:p>
    <w:p w14:paraId="0F8881C7" w14:textId="77777777" w:rsidR="00D23C04" w:rsidRPr="00D23C04" w:rsidRDefault="00D23C04" w:rsidP="00D23C04">
      <w:pPr>
        <w:spacing w:before="100" w:beforeAutospacing="1" w:after="100" w:afterAutospacing="1"/>
        <w:jc w:val="center"/>
        <w:rPr>
          <w:rFonts w:ascii="Georgia" w:hAnsi="Georgia"/>
          <w:sz w:val="32"/>
          <w:szCs w:val="32"/>
        </w:rPr>
      </w:pPr>
    </w:p>
    <w:p w14:paraId="678282E8" w14:textId="495D0CEC" w:rsidR="00D23C04" w:rsidRPr="00D23C04" w:rsidRDefault="00D23C04" w:rsidP="00D23C04">
      <w:pPr>
        <w:spacing w:before="100" w:beforeAutospacing="1" w:after="100" w:afterAutospacing="1"/>
        <w:rPr>
          <w:rFonts w:ascii="Georgia" w:eastAsia="Times New Roman" w:hAnsi="Georgia"/>
          <w:sz w:val="20"/>
          <w:szCs w:val="20"/>
        </w:rPr>
      </w:pPr>
      <w:r w:rsidRPr="00D23C04">
        <w:rPr>
          <w:rFonts w:ascii="Georgia" w:eastAsia="Times New Roman" w:hAnsi="Georgia"/>
          <w:sz w:val="20"/>
          <w:szCs w:val="20"/>
        </w:rPr>
        <w:t xml:space="preserve">~ </w:t>
      </w:r>
      <w:r w:rsidRPr="00D23C04">
        <w:rPr>
          <w:rFonts w:ascii="Georgia" w:eastAsia="Times New Roman" w:hAnsi="Georgia"/>
          <w:i/>
          <w:iCs/>
          <w:sz w:val="20"/>
          <w:szCs w:val="20"/>
        </w:rPr>
        <w:t>Inox Clean Energy, along with its subsidiary Inox Solar, has tied up ~ ₹3,100 crore through equity, valuing Inox Clean at ~ ₹50,000 crore (pre-money).</w:t>
      </w:r>
    </w:p>
    <w:p w14:paraId="14E4DA72" w14:textId="590BD9EE" w:rsidR="00D23C04" w:rsidRPr="00D23C04" w:rsidRDefault="00D23C04" w:rsidP="00D23C04">
      <w:pPr>
        <w:spacing w:before="100" w:beforeAutospacing="1" w:after="100" w:afterAutospacing="1"/>
        <w:rPr>
          <w:rFonts w:ascii="Georgia" w:eastAsia="Times New Roman" w:hAnsi="Georgia"/>
          <w:sz w:val="20"/>
          <w:szCs w:val="20"/>
        </w:rPr>
      </w:pPr>
      <w:r w:rsidRPr="00D23C04">
        <w:rPr>
          <w:rFonts w:ascii="Georgia" w:eastAsia="Times New Roman" w:hAnsi="Georgia"/>
          <w:i/>
          <w:iCs/>
          <w:sz w:val="20"/>
          <w:szCs w:val="20"/>
        </w:rPr>
        <w:t xml:space="preserve">~ </w:t>
      </w:r>
      <w:r w:rsidRPr="00D23C04">
        <w:rPr>
          <w:rFonts w:ascii="Georgia" w:eastAsia="Times New Roman" w:hAnsi="Georgia"/>
          <w:i/>
          <w:iCs/>
          <w:sz w:val="20"/>
          <w:szCs w:val="20"/>
        </w:rPr>
        <w:t xml:space="preserve">The equity round witnessed participation from marquee foreign and domestic investors, including CalPERS (California Public Employees’ Retirement System), SUN Group Global, </w:t>
      </w:r>
      <w:proofErr w:type="spellStart"/>
      <w:r w:rsidRPr="00D23C04">
        <w:rPr>
          <w:rFonts w:ascii="Georgia" w:eastAsia="Times New Roman" w:hAnsi="Georgia"/>
          <w:i/>
          <w:iCs/>
          <w:sz w:val="20"/>
          <w:szCs w:val="20"/>
        </w:rPr>
        <w:t>Authum</w:t>
      </w:r>
      <w:proofErr w:type="spellEnd"/>
      <w:r w:rsidRPr="00D23C04">
        <w:rPr>
          <w:rFonts w:ascii="Georgia" w:eastAsia="Times New Roman" w:hAnsi="Georgia"/>
          <w:i/>
          <w:iCs/>
          <w:sz w:val="20"/>
          <w:szCs w:val="20"/>
        </w:rPr>
        <w:t xml:space="preserve"> Investments, Akash Bhansali, among other family offices and HNI investors.</w:t>
      </w:r>
    </w:p>
    <w:p w14:paraId="1FAFB42E" w14:textId="77777777" w:rsidR="00D23C04" w:rsidRDefault="00D23C04" w:rsidP="00D23C04">
      <w:pPr>
        <w:spacing w:before="100" w:beforeAutospacing="1" w:after="100" w:afterAutospacing="1"/>
        <w:rPr>
          <w:rFonts w:ascii="Georgia" w:hAnsi="Georgia"/>
          <w:b/>
          <w:bCs/>
        </w:rPr>
      </w:pPr>
    </w:p>
    <w:p w14:paraId="2A9D0AED" w14:textId="44F90132" w:rsidR="00D23C04" w:rsidRPr="00D23C04" w:rsidRDefault="00D23C04" w:rsidP="00D23C04">
      <w:pPr>
        <w:spacing w:before="100" w:beforeAutospacing="1" w:after="100" w:afterAutospacing="1"/>
        <w:rPr>
          <w:rFonts w:ascii="Georgia" w:hAnsi="Georgia"/>
        </w:rPr>
      </w:pPr>
      <w:r w:rsidRPr="00D23C04">
        <w:rPr>
          <w:rFonts w:ascii="Georgia" w:hAnsi="Georgia"/>
          <w:b/>
          <w:bCs/>
        </w:rPr>
        <w:t xml:space="preserve">Noida, January </w:t>
      </w:r>
      <w:r>
        <w:rPr>
          <w:rFonts w:ascii="Georgia" w:hAnsi="Georgia"/>
          <w:b/>
          <w:bCs/>
        </w:rPr>
        <w:t>07</w:t>
      </w:r>
      <w:r w:rsidRPr="00D23C04">
        <w:rPr>
          <w:rFonts w:ascii="Georgia" w:hAnsi="Georgia"/>
          <w:b/>
          <w:bCs/>
        </w:rPr>
        <w:t>, 2026</w:t>
      </w:r>
      <w:r w:rsidRPr="00D23C04">
        <w:rPr>
          <w:rFonts w:ascii="Georgia" w:hAnsi="Georgia"/>
        </w:rPr>
        <w:t xml:space="preserve"> – Inox Clean Energy Limited (“Inox Clean”), an INOXGFL Group company, announced today that the Company, along with its subsidiary — Inox Solar Limited — has tied up equity totalling ~ ₹3,100 crore. The equity at Inox Clean was tied up at a pre-money valuation of ~ ₹50,000 crore. The equity round witnessed participation from marquee foreign and domestic investors, including CalPERS (California Public Employees’ Retirement System, the largest pension fund in the US), SUN Group Global, </w:t>
      </w:r>
      <w:proofErr w:type="spellStart"/>
      <w:r w:rsidRPr="00D23C04">
        <w:rPr>
          <w:rFonts w:ascii="Georgia" w:hAnsi="Georgia"/>
        </w:rPr>
        <w:t>Authum</w:t>
      </w:r>
      <w:proofErr w:type="spellEnd"/>
      <w:r w:rsidRPr="00D23C04">
        <w:rPr>
          <w:rFonts w:ascii="Georgia" w:hAnsi="Georgia"/>
        </w:rPr>
        <w:t xml:space="preserve"> Investments, Akash Bhansali, among other family offices and HNI investors, either directly or through their investment vehicles. Inox Clean intends to utilise the funds for capacity expansion across both the IPP and solar manufacturing verticals.</w:t>
      </w:r>
    </w:p>
    <w:p w14:paraId="65B8F2D2" w14:textId="77777777" w:rsidR="00D23C04" w:rsidRPr="00D23C04" w:rsidRDefault="00D23C04" w:rsidP="00D23C04">
      <w:pPr>
        <w:spacing w:before="100" w:beforeAutospacing="1" w:after="100" w:afterAutospacing="1"/>
        <w:rPr>
          <w:rFonts w:ascii="Georgia" w:hAnsi="Georgia"/>
        </w:rPr>
      </w:pPr>
      <w:r w:rsidRPr="00D23C04">
        <w:rPr>
          <w:rFonts w:ascii="Georgia" w:hAnsi="Georgia"/>
        </w:rPr>
        <w:t xml:space="preserve">Inox Clean, the integrated renewable energy platform of the INOXGFL Group, is rapidly expanding globally across both renewable energy IPP and solar manufacturing verticals. The Company has recently acquired the Indian renewable IPP portfolios of Vibrant Energy (a Macquarie-owned IPP platform) and </w:t>
      </w:r>
      <w:proofErr w:type="spellStart"/>
      <w:r w:rsidRPr="00D23C04">
        <w:rPr>
          <w:rFonts w:ascii="Georgia" w:hAnsi="Georgia"/>
        </w:rPr>
        <w:t>SunSource</w:t>
      </w:r>
      <w:proofErr w:type="spellEnd"/>
      <w:r w:rsidRPr="00D23C04">
        <w:rPr>
          <w:rFonts w:ascii="Georgia" w:hAnsi="Georgia"/>
        </w:rPr>
        <w:t xml:space="preserve"> Energy (a wholly owned subsidiary of the Netherlands-headquartered MNC SHV Energy), cumulatively totalling ~ 1.6 GW, and is in advanced stages of acquisition of a multi-gigawatt IPP portfolio and an integrated solar manufacturing facility based outside India.</w:t>
      </w:r>
    </w:p>
    <w:p w14:paraId="0348627F" w14:textId="77777777" w:rsidR="00D23C04" w:rsidRPr="00D23C04" w:rsidRDefault="00D23C04" w:rsidP="00D23C04">
      <w:pPr>
        <w:spacing w:before="100" w:beforeAutospacing="1" w:after="100" w:afterAutospacing="1"/>
        <w:rPr>
          <w:rFonts w:ascii="Georgia" w:hAnsi="Georgia"/>
        </w:rPr>
      </w:pPr>
      <w:r w:rsidRPr="00D23C04">
        <w:rPr>
          <w:rFonts w:ascii="Georgia" w:hAnsi="Georgia"/>
        </w:rPr>
        <w:t>The latest equity tie-up will aid the Company in achieving its target of 10 GW of installed IPP capacity as well as 11 GW of integrated solar module manufacturing capacity by FY28, which is expected to generate consolidated annual revenues of ~ ₹30,000 crore.</w:t>
      </w:r>
    </w:p>
    <w:p w14:paraId="0AF74D73" w14:textId="77777777" w:rsidR="00D23C04" w:rsidRPr="00D23C04" w:rsidRDefault="00D23C04" w:rsidP="00D23C04">
      <w:pPr>
        <w:spacing w:before="100" w:beforeAutospacing="1" w:after="100" w:afterAutospacing="1"/>
        <w:rPr>
          <w:rFonts w:ascii="Georgia" w:hAnsi="Georgia"/>
        </w:rPr>
      </w:pPr>
      <w:r w:rsidRPr="00D23C04">
        <w:rPr>
          <w:rFonts w:ascii="Georgia" w:hAnsi="Georgia"/>
        </w:rPr>
        <w:t xml:space="preserve">Commenting on the development, </w:t>
      </w:r>
      <w:r w:rsidRPr="00D23C04">
        <w:rPr>
          <w:rFonts w:ascii="Georgia" w:hAnsi="Georgia"/>
          <w:b/>
          <w:bCs/>
        </w:rPr>
        <w:t>Mr Devansh Jain, Executive Director, INOXGFL Group</w:t>
      </w:r>
      <w:r w:rsidRPr="00D23C04">
        <w:rPr>
          <w:rFonts w:ascii="Georgia" w:hAnsi="Georgia"/>
        </w:rPr>
        <w:t xml:space="preserve">, said: “The latest investment round at Inox Clean has witnessed participation from some of the largest and most credible long-term global and domestic investors, including CalPERS, SUN Group Global, as well as some of India’s biggest HNI investors. I thank all of them for endorsing Inox </w:t>
      </w:r>
      <w:proofErr w:type="spellStart"/>
      <w:r w:rsidRPr="00D23C04">
        <w:rPr>
          <w:rFonts w:ascii="Georgia" w:hAnsi="Georgia"/>
        </w:rPr>
        <w:t>Clean’s</w:t>
      </w:r>
      <w:proofErr w:type="spellEnd"/>
      <w:r w:rsidRPr="00D23C04">
        <w:rPr>
          <w:rFonts w:ascii="Georgia" w:hAnsi="Georgia"/>
        </w:rPr>
        <w:t xml:space="preserve"> vision to become one of India’s largest integrated renewable energy platforms. With its organic growth, recent acquisitions, and global forays, Inox Clean is setting new growth benchmarks and has established a solid base to achieve its medium-term targets of 10 GW of installed IPP capacity and 11 GW of integrated solar manufacturing capacity by FY28. With a presence across multiple key growth geographies globally, Inox Clean has large-scale and diversified growth opportunities over the next decade, backed by a business model that minimises balance-sheet and execution risks, maximises returns, and optimises utilisation of excess cash for furthering growth. I am confident that Inox Clean will continue delivering significant value for all stakeholders going ahead.”</w:t>
      </w:r>
    </w:p>
    <w:p w14:paraId="4C62E7CE" w14:textId="77777777" w:rsidR="00D23C04" w:rsidRPr="00D23C04" w:rsidRDefault="00D23C04" w:rsidP="00D23C04">
      <w:pPr>
        <w:spacing w:before="100" w:beforeAutospacing="1" w:after="100" w:afterAutospacing="1"/>
        <w:rPr>
          <w:rFonts w:ascii="Georgia" w:hAnsi="Georgia"/>
        </w:rPr>
      </w:pPr>
      <w:r w:rsidRPr="00D23C04">
        <w:rPr>
          <w:rFonts w:ascii="Georgia" w:hAnsi="Georgia"/>
          <w:b/>
          <w:bCs/>
        </w:rPr>
        <w:t> </w:t>
      </w:r>
    </w:p>
    <w:p w14:paraId="4323DADD" w14:textId="77777777" w:rsidR="00D23C04" w:rsidRDefault="00D23C04" w:rsidP="00D23C04">
      <w:pPr>
        <w:spacing w:before="100" w:beforeAutospacing="1" w:after="100" w:afterAutospacing="1"/>
        <w:rPr>
          <w:rFonts w:ascii="Georgia" w:hAnsi="Georgia"/>
          <w:b/>
          <w:bCs/>
          <w:u w:val="single"/>
        </w:rPr>
      </w:pPr>
    </w:p>
    <w:p w14:paraId="1C9F9248" w14:textId="77777777" w:rsidR="00D23C04" w:rsidRDefault="00D23C04" w:rsidP="00D23C04">
      <w:pPr>
        <w:spacing w:before="100" w:beforeAutospacing="1" w:after="100" w:afterAutospacing="1"/>
        <w:rPr>
          <w:rFonts w:ascii="Georgia" w:hAnsi="Georgia"/>
          <w:b/>
          <w:bCs/>
          <w:u w:val="single"/>
        </w:rPr>
      </w:pPr>
      <w:r w:rsidRPr="00D23C04">
        <w:rPr>
          <w:rFonts w:ascii="Georgia" w:hAnsi="Georgia"/>
          <w:b/>
          <w:bCs/>
          <w:u w:val="single"/>
        </w:rPr>
        <w:t>About Inox Clean Energy Limited</w:t>
      </w:r>
    </w:p>
    <w:p w14:paraId="0963AF0F" w14:textId="1C08E756" w:rsidR="00D23C04" w:rsidRPr="00D23C04" w:rsidRDefault="00D23C04" w:rsidP="00D23C04">
      <w:pPr>
        <w:spacing w:before="100" w:beforeAutospacing="1" w:after="100" w:afterAutospacing="1"/>
        <w:rPr>
          <w:rFonts w:ascii="Georgia" w:hAnsi="Georgia"/>
          <w:b/>
          <w:bCs/>
          <w:u w:val="single"/>
        </w:rPr>
      </w:pPr>
      <w:r w:rsidRPr="00D23C04">
        <w:rPr>
          <w:rFonts w:ascii="Georgia" w:hAnsi="Georgia"/>
        </w:rPr>
        <w:t>Inox Clean, the integrated renewable energy platform of the INOXGFL Group, operates across the renewable IPP (Independent Power Producer) business under its subsidiary Inox Neo and the solar manufacturing business under its subsidiary Inox Solar Limited. Rapidly expanding across the verticals through greenfield and inorganic routes, Inox Clean targets 10 GW of installed RE IPP capacity and 11 GW of integrated solar manufacturing capacity by FY28, with assets spread across India and multiple key global geographies. Combining the core strength of its robust integrated business model along with the synergies and expertise within the INOXGFL Group, Inox Clean is setting new growth benchmarks in the renewable energy space as it scales up its capacities and offerings.</w:t>
      </w:r>
    </w:p>
    <w:p w14:paraId="503F85D9" w14:textId="77777777" w:rsidR="00D23C04" w:rsidRPr="00D23C04" w:rsidRDefault="00D23C04" w:rsidP="00D23C04">
      <w:pPr>
        <w:spacing w:before="100" w:beforeAutospacing="1" w:after="100" w:afterAutospacing="1"/>
        <w:rPr>
          <w:rFonts w:ascii="Georgia" w:hAnsi="Georgia"/>
        </w:rPr>
      </w:pPr>
      <w:r w:rsidRPr="00D23C04">
        <w:rPr>
          <w:rFonts w:ascii="Georgia" w:hAnsi="Georgia"/>
          <w:b/>
          <w:bCs/>
        </w:rPr>
        <w:t> </w:t>
      </w:r>
    </w:p>
    <w:p w14:paraId="662BC101" w14:textId="77777777" w:rsidR="00D23C04" w:rsidRDefault="00D23C04" w:rsidP="00D23C04">
      <w:pPr>
        <w:spacing w:before="100" w:beforeAutospacing="1" w:after="100" w:afterAutospacing="1"/>
        <w:rPr>
          <w:rFonts w:ascii="Georgia" w:hAnsi="Georgia"/>
        </w:rPr>
      </w:pPr>
      <w:r w:rsidRPr="00D23C04">
        <w:rPr>
          <w:rFonts w:ascii="Georgia" w:hAnsi="Georgia"/>
          <w:b/>
          <w:bCs/>
          <w:u w:val="single"/>
        </w:rPr>
        <w:t>About INOXGFL Group</w:t>
      </w:r>
    </w:p>
    <w:p w14:paraId="2FFEC6E6" w14:textId="24E7A82E" w:rsidR="00D23C04" w:rsidRPr="00D23C04" w:rsidRDefault="00D23C04" w:rsidP="00D23C04">
      <w:pPr>
        <w:spacing w:before="100" w:beforeAutospacing="1" w:after="100" w:afterAutospacing="1"/>
        <w:rPr>
          <w:rFonts w:ascii="Georgia" w:hAnsi="Georgia"/>
        </w:rPr>
      </w:pPr>
      <w:r w:rsidRPr="00D23C04">
        <w:rPr>
          <w:rFonts w:ascii="Georgia" w:hAnsi="Georgia"/>
        </w:rPr>
        <w:t xml:space="preserve">INOXGFL Group, a multi-billion-dollar Indian conglomerate, is a leader in the global energy transition space. With a legacy of over 90 years, the Group’s interests span across chemicals and renewables, with presence in over 75 countries across 5 continents. INOXGFL Group companies are forerunners across diversified business segments, with three listed entities — Gujarat Fluorochemicals Limited (GFL), a global leader in the specialty fluorine chemicals space; Inox Wind Limited (IWL), India’s leading comprehensive wind solutions provider, and Inox Green Energy Services Limited (IGESL), India’s largest listed renewables O&amp;M services provider. On the unlisted front, GFL’s subsidiary — GFCL EV Products Limited (GFCL EV) — is scaling up to become the largest </w:t>
      </w:r>
      <w:proofErr w:type="spellStart"/>
      <w:r w:rsidRPr="00D23C04">
        <w:rPr>
          <w:rFonts w:ascii="Georgia" w:hAnsi="Georgia"/>
        </w:rPr>
        <w:t>non-Chinese</w:t>
      </w:r>
      <w:proofErr w:type="spellEnd"/>
      <w:r w:rsidRPr="00D23C04">
        <w:rPr>
          <w:rFonts w:ascii="Georgia" w:hAnsi="Georgia"/>
        </w:rPr>
        <w:t xml:space="preserve"> integrated advanced battery materials supplier globally. Further, through Inox Clean Energy Limited (ICEL), the Group is rapidly expanding globally across renewable energy IPP and solar manufacturing verticals. The Group's performance and leadership are reflected in its diverse portfolio of products &amp; services, where several of its companies are setting new growth benchmarks, as well as impactful corporate social responsibility initiatives. With an aim to drive progress and contribute to a greener future, the INOXGFL Group continues to contribute to India’s growth story.</w:t>
      </w:r>
    </w:p>
    <w:p w14:paraId="5C214310" w14:textId="77777777" w:rsidR="00D23C04" w:rsidRPr="00D23C04" w:rsidRDefault="00D23C04" w:rsidP="00D23C04">
      <w:pPr>
        <w:rPr>
          <w:rFonts w:ascii="Georgia" w:hAnsi="Georgia"/>
          <w:lang w:eastAsia="en-US"/>
        </w:rPr>
      </w:pPr>
    </w:p>
    <w:p w14:paraId="0316B108" w14:textId="77777777" w:rsidR="00D23C04" w:rsidRPr="00D23C04" w:rsidRDefault="00D23C04" w:rsidP="00D23C04">
      <w:pPr>
        <w:rPr>
          <w:rFonts w:ascii="Georgia" w:hAnsi="Georgia"/>
          <w:lang w:eastAsia="en-US"/>
        </w:rPr>
      </w:pPr>
    </w:p>
    <w:bookmarkEnd w:id="0"/>
    <w:p w14:paraId="6E4D6777" w14:textId="77777777" w:rsidR="003A4150" w:rsidRPr="00D23C04" w:rsidRDefault="003A4150" w:rsidP="00D23C04">
      <w:pPr>
        <w:rPr>
          <w:rFonts w:ascii="Georgia" w:hAnsi="Georgia"/>
        </w:rPr>
      </w:pPr>
    </w:p>
    <w:sectPr w:rsidR="003A4150" w:rsidRPr="00D23C04">
      <w:head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CE817" w14:textId="77777777" w:rsidR="00C67BD2" w:rsidRDefault="00C67BD2" w:rsidP="00972618">
      <w:r>
        <w:separator/>
      </w:r>
    </w:p>
  </w:endnote>
  <w:endnote w:type="continuationSeparator" w:id="0">
    <w:p w14:paraId="54FC7974" w14:textId="77777777" w:rsidR="00C67BD2" w:rsidRDefault="00C67BD2" w:rsidP="00972618">
      <w:r>
        <w:continuationSeparator/>
      </w:r>
    </w:p>
  </w:endnote>
  <w:endnote w:type="continuationNotice" w:id="1">
    <w:p w14:paraId="58ED19F1" w14:textId="77777777" w:rsidR="00C67BD2" w:rsidRDefault="00C67B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10847" w14:textId="77777777" w:rsidR="00C67BD2" w:rsidRDefault="00C67BD2" w:rsidP="00972618">
      <w:r>
        <w:separator/>
      </w:r>
    </w:p>
  </w:footnote>
  <w:footnote w:type="continuationSeparator" w:id="0">
    <w:p w14:paraId="2FEB77DE" w14:textId="77777777" w:rsidR="00C67BD2" w:rsidRDefault="00C67BD2" w:rsidP="00972618">
      <w:r>
        <w:continuationSeparator/>
      </w:r>
    </w:p>
  </w:footnote>
  <w:footnote w:type="continuationNotice" w:id="1">
    <w:p w14:paraId="0EEB31CE" w14:textId="77777777" w:rsidR="00C67BD2" w:rsidRDefault="00C67B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4D6B3" w14:textId="406CAAC3" w:rsidR="00FA25A6" w:rsidRDefault="00D23C04">
    <w:pPr>
      <w:pStyle w:val="Header"/>
    </w:pPr>
    <w:r>
      <w:rPr>
        <w:noProof/>
      </w:rPr>
      <w:drawing>
        <wp:inline distT="0" distB="0" distL="0" distR="0" wp14:anchorId="6A5DD2B9" wp14:editId="494BA849">
          <wp:extent cx="1365250" cy="439189"/>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8406" cy="456289"/>
                  </a:xfrm>
                  <a:prstGeom prst="rect">
                    <a:avLst/>
                  </a:prstGeom>
                  <a:noFill/>
                  <a:ln>
                    <a:noFill/>
                  </a:ln>
                </pic:spPr>
              </pic:pic>
            </a:graphicData>
          </a:graphic>
        </wp:inline>
      </w:drawing>
    </w:r>
    <w:sdt>
      <w:sdtPr>
        <w:id w:val="-1543894155"/>
        <w:docPartObj>
          <w:docPartGallery w:val="Watermarks"/>
          <w:docPartUnique/>
        </w:docPartObj>
      </w:sdtPr>
      <w:sdtEndPr/>
      <w:sdtContent>
        <w:r w:rsidR="00C67BD2">
          <w:rPr>
            <w:noProof/>
          </w:rPr>
          <w:pict w14:anchorId="178BCA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MSIPWM0PowerPlusWaterMarkObject" o:spid="_x0000_s2053" type="#_x0000_t136" alt="{&quot;HashCode&quot;:-664061739,&quot;Height&quot;:841.0,&quot;Width&quot;:595.0,&quot;Placement&quot;:&quot;Header&quot;,&quot;Index&quot;:&quot;Primary&quot;,&quot;Section&quot;:1,&quot;Top&quot;:-999995.0,&quot;Left&quot;:-999995.0}" style="position:absolute;margin-left:0;margin-top:0;width:431.15pt;height:47.1pt;rotation:315;z-index:-251658240;visibility:hidden;mso-position-horizontal:center;mso-position-horizontal-relative:margin;mso-position-vertical:center;mso-position-vertical-relative:margin" o:allowincell="f" fillcolor="black" stroked="f">
              <v:textpath style="font-family:&quot;Calibri&quot;;font-size:35pt" string="Gujarat Fluorochemicals Ltd."/>
              <w10:wrap anchorx="margin" anchory="margin"/>
            </v:shape>
          </w:pic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40AC6" w14:textId="094805B5" w:rsidR="007418E8" w:rsidRDefault="00C316BB">
    <w:pPr>
      <w:pStyle w:val="Header"/>
    </w:pPr>
    <w:r>
      <w:rPr>
        <w:noProof/>
      </w:rPr>
      <mc:AlternateContent>
        <mc:Choice Requires="wps">
          <w:drawing>
            <wp:anchor distT="0" distB="0" distL="0" distR="0" simplePos="0" relativeHeight="251657216" behindDoc="0" locked="0" layoutInCell="1" allowOverlap="1" wp14:anchorId="2B0FA14F" wp14:editId="162718CD">
              <wp:simplePos x="635" y="635"/>
              <wp:positionH relativeFrom="page">
                <wp:align>right</wp:align>
              </wp:positionH>
              <wp:positionV relativeFrom="page">
                <wp:align>top</wp:align>
              </wp:positionV>
              <wp:extent cx="751205" cy="363855"/>
              <wp:effectExtent l="0" t="0" r="0" b="17145"/>
              <wp:wrapNone/>
              <wp:docPr id="129494654" name="Text Box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1205" cy="363855"/>
                      </a:xfrm>
                      <a:prstGeom prst="rect">
                        <a:avLst/>
                      </a:prstGeom>
                      <a:noFill/>
                      <a:ln>
                        <a:noFill/>
                      </a:ln>
                    </wps:spPr>
                    <wps:txbx>
                      <w:txbxContent>
                        <w:p w14:paraId="05CA50D9" w14:textId="3D8C507A" w:rsidR="00C316BB" w:rsidRPr="00C316BB" w:rsidRDefault="00C316BB" w:rsidP="00C316BB">
                          <w:pPr>
                            <w:rPr>
                              <w:rFonts w:ascii="Arial" w:eastAsia="Arial" w:hAnsi="Arial" w:cs="Arial"/>
                              <w:noProof/>
                              <w:color w:val="005270"/>
                            </w:rPr>
                          </w:pPr>
                          <w:r w:rsidRPr="00C316BB">
                            <w:rPr>
                              <w:rFonts w:ascii="Arial" w:eastAsia="Arial" w:hAnsi="Arial" w:cs="Arial"/>
                              <w:noProof/>
                              <w:color w:val="005270"/>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B0FA14F" id="_x0000_t202" coordsize="21600,21600" o:spt="202" path="m,l,21600r21600,l21600,xe">
              <v:stroke joinstyle="miter"/>
              <v:path gradientshapeok="t" o:connecttype="rect"/>
            </v:shapetype>
            <v:shape id="Text Box 1" o:spid="_x0000_s1026" type="#_x0000_t202" alt="General" style="position:absolute;margin-left:7.95pt;margin-top:0;width:59.15pt;height:28.65pt;z-index:25165721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" filled="f" stroked="f">
              <v:textbox style="mso-fit-shape-to-text:t" inset="0,15pt,20pt,0">
                <w:txbxContent>
                  <w:p w14:paraId="05CA50D9" w14:textId="3D8C507A" w:rsidR="00C316BB" w:rsidRPr="00C316BB" w:rsidRDefault="00C316BB" w:rsidP="00C316BB">
                    <w:pPr>
                      <w:rPr>
                        <w:rFonts w:ascii="Arial" w:eastAsia="Arial" w:hAnsi="Arial" w:cs="Arial"/>
                        <w:noProof/>
                        <w:color w:val="005270"/>
                      </w:rPr>
                    </w:pPr>
                    <w:r w:rsidRPr="00C316BB">
                      <w:rPr>
                        <w:rFonts w:ascii="Arial" w:eastAsia="Arial" w:hAnsi="Arial" w:cs="Arial"/>
                        <w:noProof/>
                        <w:color w:val="005270"/>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20997"/>
    <w:multiLevelType w:val="multilevel"/>
    <w:tmpl w:val="08A851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2354AA1"/>
    <w:multiLevelType w:val="hybridMultilevel"/>
    <w:tmpl w:val="1C8806D0"/>
    <w:lvl w:ilvl="0" w:tplc="AEE07814">
      <w:start w:val="3"/>
      <w:numFmt w:val="bullet"/>
      <w:lvlText w:val="-"/>
      <w:lvlJc w:val="left"/>
      <w:pPr>
        <w:ind w:left="720" w:hanging="360"/>
      </w:pPr>
      <w:rPr>
        <w:rFonts w:ascii="Georgia" w:eastAsia="Times New Roman"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B213F1"/>
    <w:multiLevelType w:val="multilevel"/>
    <w:tmpl w:val="532E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hdrShapeDefaults>
    <o:shapedefaults v:ext="edit" spidmax="2054"/>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I0MbE0NTa0MDOwMLNQ0lEKTi0uzszPAykwrAUA75lncSwAAAA="/>
  </w:docVars>
  <w:rsids>
    <w:rsidRoot w:val="00D304B7"/>
    <w:rsid w:val="000012F7"/>
    <w:rsid w:val="0001526F"/>
    <w:rsid w:val="00015C7C"/>
    <w:rsid w:val="00025ED2"/>
    <w:rsid w:val="00033935"/>
    <w:rsid w:val="000515E2"/>
    <w:rsid w:val="00054CF3"/>
    <w:rsid w:val="00064524"/>
    <w:rsid w:val="000669D2"/>
    <w:rsid w:val="0008696E"/>
    <w:rsid w:val="00090310"/>
    <w:rsid w:val="00094578"/>
    <w:rsid w:val="000A31D1"/>
    <w:rsid w:val="000C5BEB"/>
    <w:rsid w:val="000E3D87"/>
    <w:rsid w:val="000F088F"/>
    <w:rsid w:val="000F3045"/>
    <w:rsid w:val="0010343A"/>
    <w:rsid w:val="001101FE"/>
    <w:rsid w:val="00121505"/>
    <w:rsid w:val="0012480F"/>
    <w:rsid w:val="0013150E"/>
    <w:rsid w:val="001366D4"/>
    <w:rsid w:val="00146325"/>
    <w:rsid w:val="00166412"/>
    <w:rsid w:val="00172A13"/>
    <w:rsid w:val="00173D09"/>
    <w:rsid w:val="001765E8"/>
    <w:rsid w:val="00182F3F"/>
    <w:rsid w:val="00190A3A"/>
    <w:rsid w:val="00196640"/>
    <w:rsid w:val="00196E96"/>
    <w:rsid w:val="001A74C0"/>
    <w:rsid w:val="001E1963"/>
    <w:rsid w:val="001E49EA"/>
    <w:rsid w:val="001E4D89"/>
    <w:rsid w:val="001E6478"/>
    <w:rsid w:val="001E7D58"/>
    <w:rsid w:val="001F1579"/>
    <w:rsid w:val="00200C93"/>
    <w:rsid w:val="00203A5A"/>
    <w:rsid w:val="00213155"/>
    <w:rsid w:val="002259AB"/>
    <w:rsid w:val="00225A65"/>
    <w:rsid w:val="0023209E"/>
    <w:rsid w:val="00232B71"/>
    <w:rsid w:val="00234A88"/>
    <w:rsid w:val="00240485"/>
    <w:rsid w:val="00247D66"/>
    <w:rsid w:val="0028386A"/>
    <w:rsid w:val="002940DB"/>
    <w:rsid w:val="00296617"/>
    <w:rsid w:val="002A3168"/>
    <w:rsid w:val="002A3852"/>
    <w:rsid w:val="002A3961"/>
    <w:rsid w:val="002B02E3"/>
    <w:rsid w:val="002C5652"/>
    <w:rsid w:val="002D2F35"/>
    <w:rsid w:val="002D3F51"/>
    <w:rsid w:val="002D784E"/>
    <w:rsid w:val="002E68AA"/>
    <w:rsid w:val="002F6B38"/>
    <w:rsid w:val="00300143"/>
    <w:rsid w:val="00302D5F"/>
    <w:rsid w:val="00317441"/>
    <w:rsid w:val="0034453F"/>
    <w:rsid w:val="003511E1"/>
    <w:rsid w:val="00352DF8"/>
    <w:rsid w:val="00362030"/>
    <w:rsid w:val="003715B2"/>
    <w:rsid w:val="003A372B"/>
    <w:rsid w:val="003A4150"/>
    <w:rsid w:val="003A4328"/>
    <w:rsid w:val="003A46FF"/>
    <w:rsid w:val="003C7668"/>
    <w:rsid w:val="003D335C"/>
    <w:rsid w:val="003D617A"/>
    <w:rsid w:val="003E4FD5"/>
    <w:rsid w:val="003F507D"/>
    <w:rsid w:val="003F61E5"/>
    <w:rsid w:val="00403C86"/>
    <w:rsid w:val="004170D4"/>
    <w:rsid w:val="00423657"/>
    <w:rsid w:val="004240D5"/>
    <w:rsid w:val="00432F3F"/>
    <w:rsid w:val="00445A50"/>
    <w:rsid w:val="00446F6F"/>
    <w:rsid w:val="004503B2"/>
    <w:rsid w:val="00470B88"/>
    <w:rsid w:val="00471B39"/>
    <w:rsid w:val="00483610"/>
    <w:rsid w:val="00486198"/>
    <w:rsid w:val="004905D6"/>
    <w:rsid w:val="00490803"/>
    <w:rsid w:val="0049232C"/>
    <w:rsid w:val="00492355"/>
    <w:rsid w:val="004A3254"/>
    <w:rsid w:val="004A4223"/>
    <w:rsid w:val="004A5313"/>
    <w:rsid w:val="004B1BE4"/>
    <w:rsid w:val="004B6663"/>
    <w:rsid w:val="004E0D90"/>
    <w:rsid w:val="004E3778"/>
    <w:rsid w:val="004E3FC3"/>
    <w:rsid w:val="004E73E3"/>
    <w:rsid w:val="005078B4"/>
    <w:rsid w:val="005147B9"/>
    <w:rsid w:val="005204C5"/>
    <w:rsid w:val="00531434"/>
    <w:rsid w:val="00541F40"/>
    <w:rsid w:val="00544913"/>
    <w:rsid w:val="005466A0"/>
    <w:rsid w:val="00552F69"/>
    <w:rsid w:val="00566CBF"/>
    <w:rsid w:val="00582DA3"/>
    <w:rsid w:val="00587595"/>
    <w:rsid w:val="005915EB"/>
    <w:rsid w:val="00595F60"/>
    <w:rsid w:val="005968D1"/>
    <w:rsid w:val="005B3EA1"/>
    <w:rsid w:val="005B5A2E"/>
    <w:rsid w:val="005B61B3"/>
    <w:rsid w:val="005C3B31"/>
    <w:rsid w:val="005C4A17"/>
    <w:rsid w:val="005C4FCC"/>
    <w:rsid w:val="005D2EF4"/>
    <w:rsid w:val="005D4E4E"/>
    <w:rsid w:val="005D69C9"/>
    <w:rsid w:val="005D7CA7"/>
    <w:rsid w:val="005E1D63"/>
    <w:rsid w:val="005E3DA7"/>
    <w:rsid w:val="005F1EC6"/>
    <w:rsid w:val="005F6927"/>
    <w:rsid w:val="005F6DA4"/>
    <w:rsid w:val="00600FAB"/>
    <w:rsid w:val="00607698"/>
    <w:rsid w:val="00610F6F"/>
    <w:rsid w:val="00620A32"/>
    <w:rsid w:val="00642F66"/>
    <w:rsid w:val="00643FCD"/>
    <w:rsid w:val="006519D7"/>
    <w:rsid w:val="00654567"/>
    <w:rsid w:val="00661DA9"/>
    <w:rsid w:val="006649D1"/>
    <w:rsid w:val="00682A13"/>
    <w:rsid w:val="00692E31"/>
    <w:rsid w:val="00696DA5"/>
    <w:rsid w:val="006A1B8B"/>
    <w:rsid w:val="006C0330"/>
    <w:rsid w:val="006C1E72"/>
    <w:rsid w:val="006C5F99"/>
    <w:rsid w:val="006E03F6"/>
    <w:rsid w:val="006E0590"/>
    <w:rsid w:val="006E40C4"/>
    <w:rsid w:val="006E4BA3"/>
    <w:rsid w:val="006F05A2"/>
    <w:rsid w:val="00707526"/>
    <w:rsid w:val="00716B06"/>
    <w:rsid w:val="00732F62"/>
    <w:rsid w:val="0073564C"/>
    <w:rsid w:val="007418E8"/>
    <w:rsid w:val="00742C78"/>
    <w:rsid w:val="00747D52"/>
    <w:rsid w:val="00751832"/>
    <w:rsid w:val="00764836"/>
    <w:rsid w:val="00767D2C"/>
    <w:rsid w:val="00772222"/>
    <w:rsid w:val="007745A9"/>
    <w:rsid w:val="00775252"/>
    <w:rsid w:val="007769C2"/>
    <w:rsid w:val="007828C1"/>
    <w:rsid w:val="00785D6C"/>
    <w:rsid w:val="007878DF"/>
    <w:rsid w:val="007913BD"/>
    <w:rsid w:val="00795B2D"/>
    <w:rsid w:val="007A1027"/>
    <w:rsid w:val="007A5168"/>
    <w:rsid w:val="007B4A71"/>
    <w:rsid w:val="007C29D6"/>
    <w:rsid w:val="007F1CF9"/>
    <w:rsid w:val="007F2F03"/>
    <w:rsid w:val="00805CF6"/>
    <w:rsid w:val="00813413"/>
    <w:rsid w:val="00824BE0"/>
    <w:rsid w:val="008263DB"/>
    <w:rsid w:val="00846849"/>
    <w:rsid w:val="0084788A"/>
    <w:rsid w:val="0085537E"/>
    <w:rsid w:val="00873016"/>
    <w:rsid w:val="008751C1"/>
    <w:rsid w:val="008849F2"/>
    <w:rsid w:val="00890832"/>
    <w:rsid w:val="00891F56"/>
    <w:rsid w:val="008A1B29"/>
    <w:rsid w:val="008A6FA1"/>
    <w:rsid w:val="008C3BA2"/>
    <w:rsid w:val="008D5748"/>
    <w:rsid w:val="008E4667"/>
    <w:rsid w:val="008E5CBA"/>
    <w:rsid w:val="008E6044"/>
    <w:rsid w:val="008E68DA"/>
    <w:rsid w:val="008F544B"/>
    <w:rsid w:val="0090355C"/>
    <w:rsid w:val="00920251"/>
    <w:rsid w:val="0092423C"/>
    <w:rsid w:val="00927332"/>
    <w:rsid w:val="00934871"/>
    <w:rsid w:val="00935F7F"/>
    <w:rsid w:val="009475EA"/>
    <w:rsid w:val="00947A64"/>
    <w:rsid w:val="00951C79"/>
    <w:rsid w:val="00952D15"/>
    <w:rsid w:val="009564C2"/>
    <w:rsid w:val="00966A25"/>
    <w:rsid w:val="0096729C"/>
    <w:rsid w:val="00972618"/>
    <w:rsid w:val="00972775"/>
    <w:rsid w:val="00974D97"/>
    <w:rsid w:val="00985FC1"/>
    <w:rsid w:val="00991F68"/>
    <w:rsid w:val="0099251B"/>
    <w:rsid w:val="00995213"/>
    <w:rsid w:val="009952B2"/>
    <w:rsid w:val="009B0444"/>
    <w:rsid w:val="009B3478"/>
    <w:rsid w:val="009C20E9"/>
    <w:rsid w:val="009C60D4"/>
    <w:rsid w:val="009C63EF"/>
    <w:rsid w:val="009C6A48"/>
    <w:rsid w:val="009D1AC1"/>
    <w:rsid w:val="009E047A"/>
    <w:rsid w:val="009E3D45"/>
    <w:rsid w:val="009E52E6"/>
    <w:rsid w:val="00A01451"/>
    <w:rsid w:val="00A049E3"/>
    <w:rsid w:val="00A115B0"/>
    <w:rsid w:val="00A144C2"/>
    <w:rsid w:val="00A14D12"/>
    <w:rsid w:val="00A165F2"/>
    <w:rsid w:val="00A16941"/>
    <w:rsid w:val="00A170DD"/>
    <w:rsid w:val="00A22D49"/>
    <w:rsid w:val="00A24754"/>
    <w:rsid w:val="00A25F93"/>
    <w:rsid w:val="00A26699"/>
    <w:rsid w:val="00A35655"/>
    <w:rsid w:val="00A40786"/>
    <w:rsid w:val="00A46641"/>
    <w:rsid w:val="00A51EC5"/>
    <w:rsid w:val="00A82024"/>
    <w:rsid w:val="00A85078"/>
    <w:rsid w:val="00AB1A3B"/>
    <w:rsid w:val="00AB291F"/>
    <w:rsid w:val="00AB4B20"/>
    <w:rsid w:val="00AB737E"/>
    <w:rsid w:val="00AC7A1A"/>
    <w:rsid w:val="00AD53ED"/>
    <w:rsid w:val="00AD5E14"/>
    <w:rsid w:val="00AD6F17"/>
    <w:rsid w:val="00AE096F"/>
    <w:rsid w:val="00AE19FD"/>
    <w:rsid w:val="00AF2145"/>
    <w:rsid w:val="00AF3F45"/>
    <w:rsid w:val="00AF3FF2"/>
    <w:rsid w:val="00AF491F"/>
    <w:rsid w:val="00B04564"/>
    <w:rsid w:val="00B131EC"/>
    <w:rsid w:val="00B1322F"/>
    <w:rsid w:val="00B17BDA"/>
    <w:rsid w:val="00B17C5D"/>
    <w:rsid w:val="00B266B4"/>
    <w:rsid w:val="00B31425"/>
    <w:rsid w:val="00B32C7B"/>
    <w:rsid w:val="00B4535E"/>
    <w:rsid w:val="00B50687"/>
    <w:rsid w:val="00B5458D"/>
    <w:rsid w:val="00B579FC"/>
    <w:rsid w:val="00B70E63"/>
    <w:rsid w:val="00B746BC"/>
    <w:rsid w:val="00B7798A"/>
    <w:rsid w:val="00B91ADD"/>
    <w:rsid w:val="00B92B9D"/>
    <w:rsid w:val="00BA069F"/>
    <w:rsid w:val="00BB2F48"/>
    <w:rsid w:val="00BC030C"/>
    <w:rsid w:val="00BC0A28"/>
    <w:rsid w:val="00BC2556"/>
    <w:rsid w:val="00BD4403"/>
    <w:rsid w:val="00BE245D"/>
    <w:rsid w:val="00BE49F5"/>
    <w:rsid w:val="00BE63F3"/>
    <w:rsid w:val="00BF7694"/>
    <w:rsid w:val="00C127F2"/>
    <w:rsid w:val="00C12DB4"/>
    <w:rsid w:val="00C23AF5"/>
    <w:rsid w:val="00C251E3"/>
    <w:rsid w:val="00C26BB9"/>
    <w:rsid w:val="00C316BB"/>
    <w:rsid w:val="00C3207D"/>
    <w:rsid w:val="00C36C37"/>
    <w:rsid w:val="00C418A5"/>
    <w:rsid w:val="00C44769"/>
    <w:rsid w:val="00C45F09"/>
    <w:rsid w:val="00C46606"/>
    <w:rsid w:val="00C47C51"/>
    <w:rsid w:val="00C508B7"/>
    <w:rsid w:val="00C516AB"/>
    <w:rsid w:val="00C523E2"/>
    <w:rsid w:val="00C55E24"/>
    <w:rsid w:val="00C65068"/>
    <w:rsid w:val="00C67BD2"/>
    <w:rsid w:val="00C7560B"/>
    <w:rsid w:val="00C76136"/>
    <w:rsid w:val="00C83B77"/>
    <w:rsid w:val="00C92B7D"/>
    <w:rsid w:val="00CB070F"/>
    <w:rsid w:val="00CB2B39"/>
    <w:rsid w:val="00CB6451"/>
    <w:rsid w:val="00CB7751"/>
    <w:rsid w:val="00CC5E40"/>
    <w:rsid w:val="00CD4A4A"/>
    <w:rsid w:val="00CE08FC"/>
    <w:rsid w:val="00CF47F2"/>
    <w:rsid w:val="00D044AE"/>
    <w:rsid w:val="00D1039C"/>
    <w:rsid w:val="00D1220B"/>
    <w:rsid w:val="00D139A8"/>
    <w:rsid w:val="00D23C04"/>
    <w:rsid w:val="00D262A3"/>
    <w:rsid w:val="00D304B7"/>
    <w:rsid w:val="00D41C0F"/>
    <w:rsid w:val="00D64F90"/>
    <w:rsid w:val="00D77364"/>
    <w:rsid w:val="00D877B0"/>
    <w:rsid w:val="00D9272A"/>
    <w:rsid w:val="00DA43DB"/>
    <w:rsid w:val="00DC0D78"/>
    <w:rsid w:val="00DC691A"/>
    <w:rsid w:val="00DC7617"/>
    <w:rsid w:val="00DE0FE1"/>
    <w:rsid w:val="00DE14E5"/>
    <w:rsid w:val="00DF0178"/>
    <w:rsid w:val="00DF18A6"/>
    <w:rsid w:val="00E1066F"/>
    <w:rsid w:val="00E12FD6"/>
    <w:rsid w:val="00E150D2"/>
    <w:rsid w:val="00E23FE9"/>
    <w:rsid w:val="00E2574F"/>
    <w:rsid w:val="00E26E54"/>
    <w:rsid w:val="00E30018"/>
    <w:rsid w:val="00E31EA1"/>
    <w:rsid w:val="00E42733"/>
    <w:rsid w:val="00E455BF"/>
    <w:rsid w:val="00E45CDC"/>
    <w:rsid w:val="00E54FDC"/>
    <w:rsid w:val="00E57AAE"/>
    <w:rsid w:val="00E610C1"/>
    <w:rsid w:val="00E61534"/>
    <w:rsid w:val="00E63309"/>
    <w:rsid w:val="00E63991"/>
    <w:rsid w:val="00E65DC7"/>
    <w:rsid w:val="00E6618C"/>
    <w:rsid w:val="00E768A5"/>
    <w:rsid w:val="00E77BBB"/>
    <w:rsid w:val="00EA3F94"/>
    <w:rsid w:val="00EA5060"/>
    <w:rsid w:val="00EA572A"/>
    <w:rsid w:val="00EB17DF"/>
    <w:rsid w:val="00EB621C"/>
    <w:rsid w:val="00EB6443"/>
    <w:rsid w:val="00EC4219"/>
    <w:rsid w:val="00EC7125"/>
    <w:rsid w:val="00EC7FC2"/>
    <w:rsid w:val="00ED6CFD"/>
    <w:rsid w:val="00EE4186"/>
    <w:rsid w:val="00EE644C"/>
    <w:rsid w:val="00EF1116"/>
    <w:rsid w:val="00EF1C02"/>
    <w:rsid w:val="00F117BC"/>
    <w:rsid w:val="00F13087"/>
    <w:rsid w:val="00F13B4F"/>
    <w:rsid w:val="00F14E50"/>
    <w:rsid w:val="00F27204"/>
    <w:rsid w:val="00F30690"/>
    <w:rsid w:val="00F53952"/>
    <w:rsid w:val="00F604E0"/>
    <w:rsid w:val="00F6123B"/>
    <w:rsid w:val="00F653A0"/>
    <w:rsid w:val="00F66AA6"/>
    <w:rsid w:val="00F70C5A"/>
    <w:rsid w:val="00F754C5"/>
    <w:rsid w:val="00F776DF"/>
    <w:rsid w:val="00F940FF"/>
    <w:rsid w:val="00F9523B"/>
    <w:rsid w:val="00F95B54"/>
    <w:rsid w:val="00FA25A6"/>
    <w:rsid w:val="00FB33C5"/>
    <w:rsid w:val="00FB3861"/>
    <w:rsid w:val="00FC0C74"/>
    <w:rsid w:val="00FC2DE3"/>
    <w:rsid w:val="00FC52B6"/>
    <w:rsid w:val="00FD5F76"/>
    <w:rsid w:val="00FE0020"/>
    <w:rsid w:val="00FE24C1"/>
    <w:rsid w:val="00FF1251"/>
    <w:rsid w:val="00FF4E1F"/>
    <w:rsid w:val="00FF67AA"/>
  </w:rsids>
  <m:mathPr>
    <m:mathFont m:val="Cambria Math"/>
    <m:brkBin m:val="before"/>
    <m:brkBinSub m:val="--"/>
    <m:smallFrac m:val="0"/>
    <m:dispDef/>
    <m:lMargin m:val="0"/>
    <m:rMargin m:val="0"/>
    <m:defJc m:val="centerGroup"/>
    <m:wrapIndent m:val="1440"/>
    <m:intLim m:val="subSup"/>
    <m:naryLim m:val="undOvr"/>
  </m:mathPr>
  <w:themeFontLang w:val="en-IN" w:eastAsia="ja-JP" w:bidi="gu-I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05151B5"/>
  <w15:chartTrackingRefBased/>
  <w15:docId w15:val="{94307A14-F49A-4D4E-B3CD-BB1D00903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C04"/>
    <w:pPr>
      <w:spacing w:after="0" w:line="240" w:lineRule="auto"/>
    </w:pPr>
    <w:rPr>
      <w:rFonts w:ascii="Calibri" w:hAnsi="Calibri" w:cs="Calibri"/>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3D45"/>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9E3D45"/>
    <w:rPr>
      <w:b/>
      <w:bCs/>
    </w:rPr>
  </w:style>
  <w:style w:type="character" w:styleId="Emphasis">
    <w:name w:val="Emphasis"/>
    <w:basedOn w:val="DefaultParagraphFont"/>
    <w:uiPriority w:val="20"/>
    <w:qFormat/>
    <w:rsid w:val="009E3D45"/>
    <w:rPr>
      <w:i/>
      <w:iCs/>
    </w:rPr>
  </w:style>
  <w:style w:type="paragraph" w:styleId="Header">
    <w:name w:val="header"/>
    <w:basedOn w:val="Normal"/>
    <w:link w:val="HeaderChar"/>
    <w:uiPriority w:val="99"/>
    <w:unhideWhenUsed/>
    <w:rsid w:val="00FA25A6"/>
    <w:pPr>
      <w:tabs>
        <w:tab w:val="center" w:pos="4513"/>
        <w:tab w:val="right" w:pos="9026"/>
      </w:tabs>
    </w:pPr>
  </w:style>
  <w:style w:type="character" w:customStyle="1" w:styleId="HeaderChar">
    <w:name w:val="Header Char"/>
    <w:basedOn w:val="DefaultParagraphFont"/>
    <w:link w:val="Header"/>
    <w:uiPriority w:val="99"/>
    <w:rsid w:val="00FA25A6"/>
  </w:style>
  <w:style w:type="paragraph" w:styleId="Footer">
    <w:name w:val="footer"/>
    <w:basedOn w:val="Normal"/>
    <w:link w:val="FooterChar"/>
    <w:uiPriority w:val="99"/>
    <w:unhideWhenUsed/>
    <w:rsid w:val="00FA25A6"/>
    <w:pPr>
      <w:tabs>
        <w:tab w:val="center" w:pos="4513"/>
        <w:tab w:val="right" w:pos="9026"/>
      </w:tabs>
    </w:pPr>
  </w:style>
  <w:style w:type="character" w:customStyle="1" w:styleId="FooterChar">
    <w:name w:val="Footer Char"/>
    <w:basedOn w:val="DefaultParagraphFont"/>
    <w:link w:val="Footer"/>
    <w:uiPriority w:val="99"/>
    <w:rsid w:val="00FA25A6"/>
  </w:style>
  <w:style w:type="paragraph" w:styleId="Revision">
    <w:name w:val="Revision"/>
    <w:hidden/>
    <w:uiPriority w:val="99"/>
    <w:semiHidden/>
    <w:rsid w:val="004240D5"/>
    <w:pPr>
      <w:spacing w:after="0" w:line="240" w:lineRule="auto"/>
    </w:pPr>
  </w:style>
  <w:style w:type="character" w:styleId="CommentReference">
    <w:name w:val="annotation reference"/>
    <w:basedOn w:val="DefaultParagraphFont"/>
    <w:uiPriority w:val="99"/>
    <w:semiHidden/>
    <w:unhideWhenUsed/>
    <w:rsid w:val="003A4328"/>
    <w:rPr>
      <w:sz w:val="16"/>
      <w:szCs w:val="16"/>
    </w:rPr>
  </w:style>
  <w:style w:type="paragraph" w:styleId="CommentText">
    <w:name w:val="annotation text"/>
    <w:basedOn w:val="Normal"/>
    <w:link w:val="CommentTextChar"/>
    <w:uiPriority w:val="99"/>
    <w:unhideWhenUsed/>
    <w:rsid w:val="003A4328"/>
    <w:rPr>
      <w:sz w:val="20"/>
      <w:szCs w:val="20"/>
    </w:rPr>
  </w:style>
  <w:style w:type="character" w:customStyle="1" w:styleId="CommentTextChar">
    <w:name w:val="Comment Text Char"/>
    <w:basedOn w:val="DefaultParagraphFont"/>
    <w:link w:val="CommentText"/>
    <w:uiPriority w:val="99"/>
    <w:rsid w:val="003A4328"/>
    <w:rPr>
      <w:sz w:val="20"/>
      <w:szCs w:val="20"/>
    </w:rPr>
  </w:style>
  <w:style w:type="paragraph" w:styleId="CommentSubject">
    <w:name w:val="annotation subject"/>
    <w:basedOn w:val="CommentText"/>
    <w:next w:val="CommentText"/>
    <w:link w:val="CommentSubjectChar"/>
    <w:uiPriority w:val="99"/>
    <w:semiHidden/>
    <w:unhideWhenUsed/>
    <w:rsid w:val="003A4328"/>
    <w:rPr>
      <w:b/>
      <w:bCs/>
    </w:rPr>
  </w:style>
  <w:style w:type="character" w:customStyle="1" w:styleId="CommentSubjectChar">
    <w:name w:val="Comment Subject Char"/>
    <w:basedOn w:val="CommentTextChar"/>
    <w:link w:val="CommentSubject"/>
    <w:uiPriority w:val="99"/>
    <w:semiHidden/>
    <w:rsid w:val="003A4328"/>
    <w:rPr>
      <w:b/>
      <w:bCs/>
      <w:sz w:val="20"/>
      <w:szCs w:val="20"/>
    </w:rPr>
  </w:style>
  <w:style w:type="paragraph" w:styleId="ListParagraph">
    <w:name w:val="List Paragraph"/>
    <w:basedOn w:val="Normal"/>
    <w:uiPriority w:val="34"/>
    <w:qFormat/>
    <w:rsid w:val="00A407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879328">
      <w:bodyDiv w:val="1"/>
      <w:marLeft w:val="0"/>
      <w:marRight w:val="0"/>
      <w:marTop w:val="0"/>
      <w:marBottom w:val="0"/>
      <w:divBdr>
        <w:top w:val="none" w:sz="0" w:space="0" w:color="auto"/>
        <w:left w:val="none" w:sz="0" w:space="0" w:color="auto"/>
        <w:bottom w:val="none" w:sz="0" w:space="0" w:color="auto"/>
        <w:right w:val="none" w:sz="0" w:space="0" w:color="auto"/>
      </w:divBdr>
    </w:div>
    <w:div w:id="298876377">
      <w:bodyDiv w:val="1"/>
      <w:marLeft w:val="0"/>
      <w:marRight w:val="0"/>
      <w:marTop w:val="0"/>
      <w:marBottom w:val="0"/>
      <w:divBdr>
        <w:top w:val="none" w:sz="0" w:space="0" w:color="auto"/>
        <w:left w:val="none" w:sz="0" w:space="0" w:color="auto"/>
        <w:bottom w:val="none" w:sz="0" w:space="0" w:color="auto"/>
        <w:right w:val="none" w:sz="0" w:space="0" w:color="auto"/>
      </w:divBdr>
    </w:div>
    <w:div w:id="358699043">
      <w:bodyDiv w:val="1"/>
      <w:marLeft w:val="0"/>
      <w:marRight w:val="0"/>
      <w:marTop w:val="0"/>
      <w:marBottom w:val="0"/>
      <w:divBdr>
        <w:top w:val="none" w:sz="0" w:space="0" w:color="auto"/>
        <w:left w:val="none" w:sz="0" w:space="0" w:color="auto"/>
        <w:bottom w:val="none" w:sz="0" w:space="0" w:color="auto"/>
        <w:right w:val="none" w:sz="0" w:space="0" w:color="auto"/>
      </w:divBdr>
    </w:div>
    <w:div w:id="1278028949">
      <w:bodyDiv w:val="1"/>
      <w:marLeft w:val="0"/>
      <w:marRight w:val="0"/>
      <w:marTop w:val="0"/>
      <w:marBottom w:val="0"/>
      <w:divBdr>
        <w:top w:val="none" w:sz="0" w:space="0" w:color="auto"/>
        <w:left w:val="none" w:sz="0" w:space="0" w:color="auto"/>
        <w:bottom w:val="none" w:sz="0" w:space="0" w:color="auto"/>
        <w:right w:val="none" w:sz="0" w:space="0" w:color="auto"/>
      </w:divBdr>
    </w:div>
    <w:div w:id="1658612250">
      <w:bodyDiv w:val="1"/>
      <w:marLeft w:val="0"/>
      <w:marRight w:val="0"/>
      <w:marTop w:val="0"/>
      <w:marBottom w:val="0"/>
      <w:divBdr>
        <w:top w:val="none" w:sz="0" w:space="0" w:color="auto"/>
        <w:left w:val="none" w:sz="0" w:space="0" w:color="auto"/>
        <w:bottom w:val="none" w:sz="0" w:space="0" w:color="auto"/>
        <w:right w:val="none" w:sz="0" w:space="0" w:color="auto"/>
      </w:divBdr>
      <w:divsChild>
        <w:div w:id="1815826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Azure%20Information%20Protection\Watermar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95b28f3-59d1-4923-8f7d-86086adda37f"/>
    <lcf76f155ced4ddcb4097134ff3c332f xmlns="1f9fffe3-a0bc-4fbf-bb1f-efb8736dc03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41B6B535662C4D903D5432F2F8696B" ma:contentTypeVersion="18" ma:contentTypeDescription="Create a new document." ma:contentTypeScope="" ma:versionID="5da4afe00918a97e4d366836fe772ab5">
  <xsd:schema xmlns:xsd="http://www.w3.org/2001/XMLSchema" xmlns:xs="http://www.w3.org/2001/XMLSchema" xmlns:p="http://schemas.microsoft.com/office/2006/metadata/properties" xmlns:ns2="1f9fffe3-a0bc-4fbf-bb1f-efb8736dc03f" xmlns:ns3="2a543bfb-e747-4274-8833-938be56773f0" xmlns:ns4="095b28f3-59d1-4923-8f7d-86086adda37f" targetNamespace="http://schemas.microsoft.com/office/2006/metadata/properties" ma:root="true" ma:fieldsID="6602cea89ed264cd7ff82ccafe1f0f70" ns2:_="" ns3:_="" ns4:_="">
    <xsd:import namespace="1f9fffe3-a0bc-4fbf-bb1f-efb8736dc03f"/>
    <xsd:import namespace="2a543bfb-e747-4274-8833-938be56773f0"/>
    <xsd:import namespace="095b28f3-59d1-4923-8f7d-86086adda3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fffe3-a0bc-4fbf-bb1f-efb8736dc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6fc222-97ac-411e-b2ac-676d0eed36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543bfb-e747-4274-8833-938be56773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5b28f3-59d1-4923-8f7d-86086adda37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9b950f9-8050-4094-96fb-d174a125c65d}" ma:internalName="TaxCatchAll" ma:showField="CatchAllData" ma:web="2a543bfb-e747-4274-8833-938be56773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EB71D-9B08-4EE3-AD7B-379F67712955}">
  <ds:schemaRefs>
    <ds:schemaRef ds:uri="http://schemas.microsoft.com/sharepoint/v3/contenttype/forms"/>
  </ds:schemaRefs>
</ds:datastoreItem>
</file>

<file path=customXml/itemProps2.xml><?xml version="1.0" encoding="utf-8"?>
<ds:datastoreItem xmlns:ds="http://schemas.openxmlformats.org/officeDocument/2006/customXml" ds:itemID="{9E361ACC-CE4B-4825-B1EE-651803C71B8D}">
  <ds:schemaRefs>
    <ds:schemaRef ds:uri="http://schemas.microsoft.com/office/2006/metadata/properties"/>
    <ds:schemaRef ds:uri="http://schemas.microsoft.com/office/infopath/2007/PartnerControls"/>
    <ds:schemaRef ds:uri="095b28f3-59d1-4923-8f7d-86086adda37f"/>
    <ds:schemaRef ds:uri="1f9fffe3-a0bc-4fbf-bb1f-efb8736dc03f"/>
  </ds:schemaRefs>
</ds:datastoreItem>
</file>

<file path=customXml/itemProps3.xml><?xml version="1.0" encoding="utf-8"?>
<ds:datastoreItem xmlns:ds="http://schemas.openxmlformats.org/officeDocument/2006/customXml" ds:itemID="{215157F1-6BDF-47DE-8901-49DBE291F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fffe3-a0bc-4fbf-bb1f-efb8736dc03f"/>
    <ds:schemaRef ds:uri="2a543bfb-e747-4274-8833-938be56773f0"/>
    <ds:schemaRef ds:uri="095b28f3-59d1-4923-8f7d-86086adda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35cd712-9151-434e-a491-3b7563140e21}" enabled="1" method="Standard" siteId="{7b81ccc5-ba35-4bf8-854f-49f9c02d3fb1}" removed="0"/>
</clbl:labelList>
</file>

<file path=docProps/app.xml><?xml version="1.0" encoding="utf-8"?>
<Properties xmlns="http://schemas.openxmlformats.org/officeDocument/2006/extended-properties" xmlns:vt="http://schemas.openxmlformats.org/officeDocument/2006/docPropsVTypes">
  <Template>WatermarkTemplate</Template>
  <TotalTime>246</TotalTime>
  <Pages>2</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  Sharma</dc:creator>
  <cp:keywords/>
  <dc:description/>
  <cp:lastModifiedBy>Mohit  Sharma</cp:lastModifiedBy>
  <cp:revision>9</cp:revision>
  <cp:lastPrinted>2025-09-26T08:58:00Z</cp:lastPrinted>
  <dcterms:created xsi:type="dcterms:W3CDTF">2026-01-06T07:05:00Z</dcterms:created>
  <dcterms:modified xsi:type="dcterms:W3CDTF">2026-01-07T05:50:00Z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0x0101009B41B6B535662C4D903D5432F2F8696B</vt:lpwstr>
  </property>
</Properties>
</file>