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5DEF9" w14:textId="28ABA895" w:rsidR="00741B03" w:rsidRPr="008A7038" w:rsidRDefault="00741B03" w:rsidP="004D6472">
      <w:pPr>
        <w:spacing w:before="100" w:beforeAutospacing="1" w:after="100" w:afterAutospacing="1" w:line="240" w:lineRule="auto"/>
        <w:jc w:val="center"/>
        <w:rPr>
          <w:rFonts w:ascii="Times New Roman" w:hAnsi="Times New Roman" w:cs="Times New Roman"/>
          <w:sz w:val="36"/>
          <w:szCs w:val="36"/>
        </w:rPr>
      </w:pPr>
      <w:bookmarkStart w:id="0" w:name="_Hlk237510576"/>
      <w:r w:rsidRPr="008A7038">
        <w:rPr>
          <w:rFonts w:ascii="Times New Roman" w:hAnsi="Times New Roman" w:cs="Times New Roman"/>
          <w:b/>
          <w:sz w:val="36"/>
          <w:szCs w:val="36"/>
        </w:rPr>
        <w:t xml:space="preserve">Motilal Oswal Group </w:t>
      </w:r>
      <w:r w:rsidR="004D6472" w:rsidRPr="008A7038">
        <w:rPr>
          <w:rFonts w:ascii="Times New Roman" w:eastAsia="Times New Roman" w:hAnsi="Times New Roman" w:cs="Times New Roman"/>
          <w:b/>
          <w:bCs/>
          <w:sz w:val="36"/>
          <w:szCs w:val="36"/>
          <w:lang w:eastAsia="en-IN"/>
        </w:rPr>
        <w:t>to invest</w:t>
      </w:r>
      <w:r w:rsidRPr="008A7038">
        <w:rPr>
          <w:rFonts w:ascii="Times New Roman" w:eastAsia="Times New Roman" w:hAnsi="Times New Roman" w:cs="Times New Roman"/>
          <w:b/>
          <w:bCs/>
          <w:sz w:val="36"/>
          <w:szCs w:val="36"/>
          <w:lang w:eastAsia="en-IN"/>
        </w:rPr>
        <w:t xml:space="preserve"> ₹</w:t>
      </w:r>
      <w:r w:rsidRPr="008A7038">
        <w:rPr>
          <w:rFonts w:ascii="Times New Roman" w:hAnsi="Times New Roman" w:cs="Times New Roman"/>
          <w:b/>
          <w:sz w:val="36"/>
          <w:szCs w:val="36"/>
        </w:rPr>
        <w:t>1,500 crore in Inox Clean Energy</w:t>
      </w:r>
    </w:p>
    <w:p w14:paraId="53E1494F" w14:textId="2E378224" w:rsidR="00B94F0E" w:rsidRPr="008A7038" w:rsidRDefault="00E14E33" w:rsidP="008A7038">
      <w:pPr>
        <w:spacing w:before="100" w:beforeAutospacing="1" w:after="100" w:afterAutospacing="1" w:line="240" w:lineRule="auto"/>
        <w:rPr>
          <w:rFonts w:ascii="Times New Roman" w:eastAsia="Times New Roman" w:hAnsi="Times New Roman" w:cs="Times New Roman"/>
          <w:sz w:val="24"/>
          <w:szCs w:val="24"/>
          <w:lang w:eastAsia="en-IN"/>
        </w:rPr>
      </w:pPr>
      <w:r w:rsidRPr="008A7038">
        <w:rPr>
          <w:rFonts w:ascii="Times New Roman" w:eastAsia="Times New Roman" w:hAnsi="Times New Roman" w:cs="Times New Roman"/>
          <w:b/>
          <w:bCs/>
          <w:sz w:val="24"/>
          <w:szCs w:val="24"/>
          <w:lang w:eastAsia="en-IN"/>
        </w:rPr>
        <w:t xml:space="preserve">Noida, </w:t>
      </w:r>
      <w:r w:rsidRPr="008A7038">
        <w:rPr>
          <w:rFonts w:ascii="Times New Roman" w:hAnsi="Times New Roman" w:cs="Times New Roman"/>
          <w:b/>
          <w:sz w:val="24"/>
          <w:szCs w:val="24"/>
        </w:rPr>
        <w:t xml:space="preserve">August </w:t>
      </w:r>
      <w:r w:rsidR="00E802BE" w:rsidRPr="008A7038">
        <w:rPr>
          <w:rFonts w:ascii="Times New Roman" w:hAnsi="Times New Roman" w:cs="Times New Roman"/>
          <w:b/>
          <w:sz w:val="24"/>
          <w:szCs w:val="24"/>
        </w:rPr>
        <w:t>1</w:t>
      </w:r>
      <w:r w:rsidR="00997652">
        <w:rPr>
          <w:rFonts w:ascii="Times New Roman" w:hAnsi="Times New Roman" w:cs="Times New Roman"/>
          <w:b/>
          <w:sz w:val="24"/>
          <w:szCs w:val="24"/>
        </w:rPr>
        <w:t>3</w:t>
      </w:r>
      <w:r w:rsidRPr="008A7038">
        <w:rPr>
          <w:rFonts w:ascii="Times New Roman" w:hAnsi="Times New Roman" w:cs="Times New Roman"/>
          <w:b/>
          <w:sz w:val="24"/>
          <w:szCs w:val="24"/>
        </w:rPr>
        <w:t>, 2026:</w:t>
      </w:r>
      <w:r w:rsidRPr="008A7038">
        <w:rPr>
          <w:rFonts w:ascii="Times New Roman" w:hAnsi="Times New Roman" w:cs="Times New Roman"/>
          <w:sz w:val="24"/>
          <w:szCs w:val="24"/>
        </w:rPr>
        <w:t xml:space="preserve"> Inox Clean Energy Limited ("Inox Clean"</w:t>
      </w:r>
      <w:r w:rsidR="000A6874" w:rsidRPr="008A7038">
        <w:rPr>
          <w:rFonts w:ascii="Times New Roman" w:hAnsi="Times New Roman" w:cs="Times New Roman"/>
          <w:sz w:val="24"/>
          <w:szCs w:val="24"/>
        </w:rPr>
        <w:t xml:space="preserve"> or “Company”</w:t>
      </w:r>
      <w:r w:rsidRPr="008A7038">
        <w:rPr>
          <w:rFonts w:ascii="Times New Roman" w:hAnsi="Times New Roman" w:cs="Times New Roman"/>
          <w:sz w:val="24"/>
          <w:szCs w:val="24"/>
        </w:rPr>
        <w:t xml:space="preserve">), the integrated renewable energy platform of the INOXGFL Group, today announced </w:t>
      </w:r>
      <w:r w:rsidR="00607F94" w:rsidRPr="008A7038">
        <w:rPr>
          <w:rFonts w:ascii="Times New Roman" w:eastAsia="Times New Roman" w:hAnsi="Times New Roman" w:cs="Times New Roman"/>
          <w:sz w:val="24"/>
          <w:szCs w:val="24"/>
          <w:lang w:eastAsia="en-IN"/>
        </w:rPr>
        <w:t>investment</w:t>
      </w:r>
      <w:r w:rsidR="004A1BD9" w:rsidRPr="008A7038">
        <w:rPr>
          <w:rFonts w:ascii="Times New Roman" w:eastAsia="Times New Roman" w:hAnsi="Times New Roman" w:cs="Times New Roman"/>
          <w:sz w:val="24"/>
          <w:szCs w:val="24"/>
          <w:lang w:eastAsia="en-IN"/>
        </w:rPr>
        <w:t xml:space="preserve"> commitment</w:t>
      </w:r>
      <w:r w:rsidR="00607F94" w:rsidRPr="008A7038">
        <w:rPr>
          <w:rFonts w:ascii="Times New Roman" w:eastAsia="Times New Roman" w:hAnsi="Times New Roman" w:cs="Times New Roman"/>
          <w:sz w:val="24"/>
          <w:szCs w:val="24"/>
          <w:lang w:eastAsia="en-IN"/>
        </w:rPr>
        <w:t xml:space="preserve"> of </w:t>
      </w:r>
      <w:r w:rsidRPr="008A7038">
        <w:rPr>
          <w:rFonts w:ascii="Times New Roman" w:eastAsia="Times New Roman" w:hAnsi="Times New Roman" w:cs="Times New Roman"/>
          <w:sz w:val="24"/>
          <w:szCs w:val="24"/>
          <w:lang w:eastAsia="en-IN"/>
        </w:rPr>
        <w:t>₹</w:t>
      </w:r>
      <w:r w:rsidRPr="008A7038">
        <w:rPr>
          <w:rFonts w:ascii="Times New Roman" w:hAnsi="Times New Roman" w:cs="Times New Roman"/>
          <w:sz w:val="24"/>
          <w:szCs w:val="24"/>
        </w:rPr>
        <w:t>1,500 crore</w:t>
      </w:r>
      <w:r w:rsidRPr="008A7038">
        <w:rPr>
          <w:rFonts w:ascii="Times New Roman" w:hAnsi="Times New Roman" w:cs="Times New Roman"/>
          <w:b/>
          <w:sz w:val="24"/>
          <w:szCs w:val="24"/>
        </w:rPr>
        <w:t xml:space="preserve"> </w:t>
      </w:r>
      <w:r w:rsidRPr="008A7038">
        <w:rPr>
          <w:rFonts w:ascii="Times New Roman" w:hAnsi="Times New Roman" w:cs="Times New Roman"/>
          <w:sz w:val="24"/>
          <w:szCs w:val="24"/>
        </w:rPr>
        <w:t>from the Motilal Oswal Group</w:t>
      </w:r>
      <w:r w:rsidR="004D6472" w:rsidRPr="008A7038">
        <w:rPr>
          <w:rFonts w:ascii="Times New Roman" w:eastAsia="Times New Roman" w:hAnsi="Times New Roman" w:cs="Times New Roman"/>
          <w:sz w:val="24"/>
          <w:szCs w:val="24"/>
          <w:lang w:eastAsia="en-IN"/>
        </w:rPr>
        <w:t xml:space="preserve">, with </w:t>
      </w:r>
      <w:r w:rsidR="004D6472">
        <w:rPr>
          <w:rFonts w:ascii="Times New Roman" w:eastAsia="Times New Roman" w:hAnsi="Times New Roman" w:cs="Times New Roman"/>
          <w:sz w:val="24"/>
          <w:szCs w:val="24"/>
          <w:lang w:eastAsia="en-IN"/>
        </w:rPr>
        <w:t>an</w:t>
      </w:r>
      <w:r w:rsidR="004D6472" w:rsidRPr="008A7038">
        <w:rPr>
          <w:rFonts w:ascii="Times New Roman" w:eastAsia="Times New Roman" w:hAnsi="Times New Roman" w:cs="Times New Roman"/>
          <w:sz w:val="24"/>
          <w:szCs w:val="24"/>
          <w:lang w:eastAsia="en-IN"/>
        </w:rPr>
        <w:t xml:space="preserve"> initial investment of </w:t>
      </w:r>
      <w:r w:rsidR="004D6472" w:rsidRPr="008A7038">
        <w:rPr>
          <w:rFonts w:ascii="Times New Roman" w:eastAsia="Times New Roman" w:hAnsi="Times New Roman" w:cs="Times New Roman"/>
          <w:b/>
          <w:bCs/>
          <w:sz w:val="24"/>
          <w:szCs w:val="24"/>
          <w:lang w:eastAsia="en-IN"/>
        </w:rPr>
        <w:t>₹</w:t>
      </w:r>
      <w:r w:rsidR="004D6472" w:rsidRPr="008A7038">
        <w:rPr>
          <w:rFonts w:ascii="Times New Roman" w:eastAsia="Times New Roman" w:hAnsi="Times New Roman" w:cs="Times New Roman"/>
          <w:sz w:val="24"/>
          <w:szCs w:val="24"/>
          <w:lang w:eastAsia="en-IN"/>
        </w:rPr>
        <w:t>1000 crore already completed.</w:t>
      </w:r>
    </w:p>
    <w:p w14:paraId="4D8A4C7C" w14:textId="22887A31" w:rsidR="00E301CC" w:rsidRPr="008A7038" w:rsidRDefault="00E301CC" w:rsidP="008A7038">
      <w:pPr>
        <w:spacing w:before="100" w:beforeAutospacing="1" w:after="100" w:afterAutospacing="1" w:line="240" w:lineRule="auto"/>
        <w:rPr>
          <w:rFonts w:ascii="Times New Roman" w:hAnsi="Times New Roman" w:cs="Times New Roman"/>
          <w:sz w:val="24"/>
          <w:szCs w:val="24"/>
        </w:rPr>
      </w:pPr>
      <w:r w:rsidRPr="008A7038">
        <w:rPr>
          <w:rFonts w:ascii="Times New Roman" w:hAnsi="Times New Roman" w:cs="Times New Roman"/>
          <w:sz w:val="24"/>
          <w:szCs w:val="24"/>
        </w:rPr>
        <w:t xml:space="preserve">Motilal Oswal Group </w:t>
      </w:r>
      <w:r w:rsidRPr="008A7038">
        <w:rPr>
          <w:rFonts w:ascii="Times New Roman" w:eastAsia="Times New Roman" w:hAnsi="Times New Roman" w:cs="Times New Roman"/>
          <w:sz w:val="24"/>
          <w:szCs w:val="24"/>
          <w:lang w:eastAsia="en-IN"/>
        </w:rPr>
        <w:t xml:space="preserve">is one of India's leading diversified financial services institution, with an established presence across capital markets, wealth and asset management, investment banking, and private capital. This investment in </w:t>
      </w:r>
      <w:r w:rsidRPr="008A7038">
        <w:rPr>
          <w:rFonts w:ascii="Times New Roman" w:hAnsi="Times New Roman" w:cs="Times New Roman"/>
          <w:sz w:val="24"/>
          <w:szCs w:val="24"/>
        </w:rPr>
        <w:t xml:space="preserve">Inox Clean, </w:t>
      </w:r>
      <w:r w:rsidRPr="008A7038">
        <w:rPr>
          <w:rFonts w:ascii="Times New Roman" w:eastAsia="Times New Roman" w:hAnsi="Times New Roman" w:cs="Times New Roman"/>
          <w:sz w:val="24"/>
          <w:szCs w:val="24"/>
          <w:lang w:eastAsia="en-IN"/>
        </w:rPr>
        <w:t xml:space="preserve">reflects increasing investor confidence in </w:t>
      </w:r>
      <w:r w:rsidRPr="008A7038">
        <w:rPr>
          <w:rFonts w:ascii="Times New Roman" w:hAnsi="Times New Roman" w:cs="Times New Roman"/>
          <w:sz w:val="24"/>
          <w:szCs w:val="24"/>
        </w:rPr>
        <w:t xml:space="preserve">the </w:t>
      </w:r>
      <w:r w:rsidR="000A6874" w:rsidRPr="008A7038">
        <w:rPr>
          <w:rFonts w:ascii="Times New Roman" w:eastAsia="Times New Roman" w:hAnsi="Times New Roman" w:cs="Times New Roman"/>
          <w:sz w:val="24"/>
          <w:szCs w:val="24"/>
          <w:lang w:eastAsia="en-IN"/>
        </w:rPr>
        <w:t>C</w:t>
      </w:r>
      <w:r w:rsidRPr="008A7038">
        <w:rPr>
          <w:rFonts w:ascii="Times New Roman" w:eastAsia="Times New Roman" w:hAnsi="Times New Roman" w:cs="Times New Roman"/>
          <w:sz w:val="24"/>
          <w:szCs w:val="24"/>
          <w:lang w:eastAsia="en-IN"/>
        </w:rPr>
        <w:t>ompany's integrated renewable energy platform with strong management, execution capabilities and long-term growth strategy. The</w:t>
      </w:r>
      <w:r w:rsidRPr="008A7038">
        <w:rPr>
          <w:rFonts w:ascii="Times New Roman" w:hAnsi="Times New Roman" w:cs="Times New Roman"/>
          <w:sz w:val="24"/>
          <w:szCs w:val="24"/>
        </w:rPr>
        <w:t xml:space="preserve"> fund</w:t>
      </w:r>
      <w:r w:rsidR="00D40362">
        <w:rPr>
          <w:rFonts w:ascii="Times New Roman" w:hAnsi="Times New Roman" w:cs="Times New Roman"/>
          <w:sz w:val="24"/>
          <w:szCs w:val="24"/>
        </w:rPr>
        <w:t>s</w:t>
      </w:r>
      <w:r w:rsidRPr="008A7038">
        <w:rPr>
          <w:rFonts w:ascii="Times New Roman" w:hAnsi="Times New Roman" w:cs="Times New Roman"/>
          <w:sz w:val="24"/>
          <w:szCs w:val="24"/>
        </w:rPr>
        <w:t xml:space="preserve"> </w:t>
      </w:r>
      <w:r w:rsidRPr="008A7038">
        <w:rPr>
          <w:rFonts w:ascii="Times New Roman" w:eastAsia="Times New Roman" w:hAnsi="Times New Roman" w:cs="Times New Roman"/>
          <w:sz w:val="24"/>
          <w:szCs w:val="24"/>
          <w:lang w:eastAsia="en-IN"/>
        </w:rPr>
        <w:t xml:space="preserve">raised are </w:t>
      </w:r>
      <w:r w:rsidRPr="008A7038">
        <w:rPr>
          <w:rFonts w:ascii="Times New Roman" w:hAnsi="Times New Roman" w:cs="Times New Roman"/>
          <w:sz w:val="24"/>
          <w:szCs w:val="24"/>
        </w:rPr>
        <w:t xml:space="preserve">in the </w:t>
      </w:r>
      <w:r w:rsidRPr="008A7038">
        <w:rPr>
          <w:rFonts w:ascii="Times New Roman" w:eastAsia="Times New Roman" w:hAnsi="Times New Roman" w:cs="Times New Roman"/>
          <w:sz w:val="24"/>
          <w:szCs w:val="24"/>
          <w:lang w:eastAsia="en-IN"/>
        </w:rPr>
        <w:t xml:space="preserve">form of Compulsorily Convertible Debentures (CCDs) and will be utilized towards Inox </w:t>
      </w:r>
      <w:proofErr w:type="spellStart"/>
      <w:r w:rsidRPr="008A7038">
        <w:rPr>
          <w:rFonts w:ascii="Times New Roman" w:eastAsia="Times New Roman" w:hAnsi="Times New Roman" w:cs="Times New Roman"/>
          <w:sz w:val="24"/>
          <w:szCs w:val="24"/>
          <w:lang w:eastAsia="en-IN"/>
        </w:rPr>
        <w:t>Clean’s</w:t>
      </w:r>
      <w:proofErr w:type="spellEnd"/>
      <w:r w:rsidRPr="008A7038">
        <w:rPr>
          <w:rFonts w:ascii="Times New Roman" w:eastAsia="Times New Roman" w:hAnsi="Times New Roman" w:cs="Times New Roman"/>
          <w:sz w:val="24"/>
          <w:szCs w:val="24"/>
          <w:lang w:eastAsia="en-IN"/>
        </w:rPr>
        <w:t xml:space="preserve"> </w:t>
      </w:r>
      <w:r w:rsidR="00925DB5" w:rsidRPr="008A7038">
        <w:rPr>
          <w:rFonts w:ascii="Times New Roman" w:eastAsia="Times New Roman" w:hAnsi="Times New Roman" w:cs="Times New Roman"/>
          <w:sz w:val="24"/>
          <w:szCs w:val="24"/>
          <w:lang w:eastAsia="en-IN"/>
        </w:rPr>
        <w:t>growth trajectory particularly fuelling inorganic growth initiatives</w:t>
      </w:r>
      <w:r w:rsidRPr="008A7038">
        <w:rPr>
          <w:rFonts w:ascii="Times New Roman" w:eastAsia="Times New Roman" w:hAnsi="Times New Roman" w:cs="Times New Roman"/>
          <w:sz w:val="24"/>
          <w:szCs w:val="24"/>
          <w:lang w:eastAsia="en-IN"/>
        </w:rPr>
        <w:t xml:space="preserve">. </w:t>
      </w:r>
      <w:r w:rsidRPr="008A7038">
        <w:rPr>
          <w:rFonts w:ascii="Times New Roman" w:hAnsi="Times New Roman" w:cs="Times New Roman"/>
          <w:sz w:val="24"/>
          <w:szCs w:val="24"/>
        </w:rPr>
        <w:t xml:space="preserve"> </w:t>
      </w:r>
    </w:p>
    <w:p w14:paraId="16A94744" w14:textId="68C47ED8" w:rsidR="00D86584" w:rsidRPr="008A7038" w:rsidRDefault="00D86584" w:rsidP="008A7038">
      <w:pPr>
        <w:spacing w:before="100" w:beforeAutospacing="1" w:after="100" w:afterAutospacing="1" w:line="240" w:lineRule="auto"/>
        <w:rPr>
          <w:rFonts w:ascii="Times New Roman" w:hAnsi="Times New Roman" w:cs="Times New Roman"/>
          <w:sz w:val="24"/>
          <w:szCs w:val="24"/>
        </w:rPr>
      </w:pPr>
      <w:r w:rsidRPr="008A7038">
        <w:rPr>
          <w:rFonts w:ascii="Times New Roman" w:eastAsia="Times New Roman" w:hAnsi="Times New Roman" w:cs="Times New Roman"/>
          <w:sz w:val="24"/>
          <w:szCs w:val="24"/>
          <w:lang w:eastAsia="en-IN"/>
        </w:rPr>
        <w:t>This follows a ₹700 crore</w:t>
      </w:r>
      <w:r w:rsidRPr="008A7038">
        <w:rPr>
          <w:rFonts w:ascii="Times New Roman" w:hAnsi="Times New Roman" w:cs="Times New Roman"/>
          <w:sz w:val="24"/>
          <w:szCs w:val="24"/>
        </w:rPr>
        <w:t xml:space="preserve"> investment </w:t>
      </w:r>
      <w:r w:rsidRPr="008A7038">
        <w:rPr>
          <w:rFonts w:ascii="Times New Roman" w:eastAsia="Times New Roman" w:hAnsi="Times New Roman" w:cs="Times New Roman"/>
          <w:sz w:val="24"/>
          <w:szCs w:val="24"/>
          <w:lang w:eastAsia="en-IN"/>
        </w:rPr>
        <w:t>from</w:t>
      </w:r>
      <w:r w:rsidRPr="008A7038">
        <w:rPr>
          <w:rFonts w:ascii="Times New Roman" w:hAnsi="Times New Roman" w:cs="Times New Roman"/>
          <w:sz w:val="24"/>
          <w:szCs w:val="24"/>
        </w:rPr>
        <w:t xml:space="preserve"> the </w:t>
      </w:r>
      <w:r w:rsidRPr="008A7038">
        <w:rPr>
          <w:rFonts w:ascii="Times New Roman" w:eastAsia="Times New Roman" w:hAnsi="Times New Roman" w:cs="Times New Roman"/>
          <w:sz w:val="24"/>
          <w:szCs w:val="24"/>
          <w:lang w:eastAsia="en-IN"/>
        </w:rPr>
        <w:t>Adar Poonawalla Family Office</w:t>
      </w:r>
      <w:r w:rsidR="004D6472" w:rsidRPr="008A7038">
        <w:rPr>
          <w:rFonts w:ascii="Times New Roman" w:hAnsi="Times New Roman" w:cs="Times New Roman"/>
          <w:sz w:val="24"/>
          <w:szCs w:val="24"/>
        </w:rPr>
        <w:t xml:space="preserve"> in Inox </w:t>
      </w:r>
      <w:proofErr w:type="spellStart"/>
      <w:r w:rsidR="004D6472" w:rsidRPr="008A7038">
        <w:rPr>
          <w:rFonts w:ascii="Times New Roman" w:hAnsi="Times New Roman" w:cs="Times New Roman"/>
          <w:sz w:val="24"/>
          <w:szCs w:val="24"/>
        </w:rPr>
        <w:t>Clean</w:t>
      </w:r>
      <w:r w:rsidR="00E301CC" w:rsidRPr="008A7038">
        <w:rPr>
          <w:rFonts w:ascii="Times New Roman" w:hAnsi="Times New Roman" w:cs="Times New Roman"/>
          <w:sz w:val="24"/>
          <w:szCs w:val="24"/>
        </w:rPr>
        <w:t>Other</w:t>
      </w:r>
      <w:proofErr w:type="spellEnd"/>
      <w:r w:rsidR="00E301CC" w:rsidRPr="008A7038">
        <w:rPr>
          <w:rFonts w:ascii="Times New Roman" w:hAnsi="Times New Roman" w:cs="Times New Roman"/>
          <w:sz w:val="24"/>
          <w:szCs w:val="24"/>
        </w:rPr>
        <w:t xml:space="preserve"> </w:t>
      </w:r>
      <w:r w:rsidRPr="008A7038">
        <w:rPr>
          <w:rFonts w:ascii="Times New Roman" w:eastAsia="Times New Roman" w:hAnsi="Times New Roman" w:cs="Times New Roman"/>
          <w:sz w:val="24"/>
          <w:szCs w:val="24"/>
          <w:lang w:eastAsia="en-IN"/>
        </w:rPr>
        <w:t>marquee investors in Inox Clean and its subsidiaries</w:t>
      </w:r>
      <w:r w:rsidR="00E301CC" w:rsidRPr="008A7038">
        <w:rPr>
          <w:rFonts w:ascii="Times New Roman" w:eastAsia="Times New Roman" w:hAnsi="Times New Roman" w:cs="Times New Roman"/>
          <w:sz w:val="24"/>
          <w:szCs w:val="24"/>
          <w:lang w:eastAsia="en-IN"/>
        </w:rPr>
        <w:t xml:space="preserve"> includes, </w:t>
      </w:r>
      <w:r w:rsidRPr="008A7038">
        <w:rPr>
          <w:rFonts w:ascii="Times New Roman" w:eastAsia="Times New Roman" w:hAnsi="Times New Roman" w:cs="Times New Roman"/>
          <w:sz w:val="24"/>
          <w:szCs w:val="24"/>
          <w:lang w:eastAsia="en-IN"/>
        </w:rPr>
        <w:t xml:space="preserve">CalPERS, RJ Corp, Hero Group, </w:t>
      </w:r>
      <w:proofErr w:type="spellStart"/>
      <w:r w:rsidRPr="008A7038">
        <w:rPr>
          <w:rFonts w:ascii="Times New Roman" w:eastAsia="Times New Roman" w:hAnsi="Times New Roman" w:cs="Times New Roman"/>
          <w:sz w:val="24"/>
          <w:szCs w:val="24"/>
          <w:lang w:eastAsia="en-IN"/>
        </w:rPr>
        <w:t>Authum</w:t>
      </w:r>
      <w:proofErr w:type="spellEnd"/>
      <w:r w:rsidRPr="008A7038">
        <w:rPr>
          <w:rFonts w:ascii="Times New Roman" w:eastAsia="Times New Roman" w:hAnsi="Times New Roman" w:cs="Times New Roman"/>
          <w:sz w:val="24"/>
          <w:szCs w:val="24"/>
          <w:lang w:eastAsia="en-IN"/>
        </w:rPr>
        <w:t xml:space="preserve"> Investments</w:t>
      </w:r>
      <w:r w:rsidR="00E301CC" w:rsidRPr="008A7038">
        <w:rPr>
          <w:rFonts w:ascii="Times New Roman" w:eastAsia="Times New Roman" w:hAnsi="Times New Roman" w:cs="Times New Roman"/>
          <w:sz w:val="24"/>
          <w:szCs w:val="24"/>
          <w:lang w:eastAsia="en-IN"/>
        </w:rPr>
        <w:t xml:space="preserve">, </w:t>
      </w:r>
      <w:r w:rsidRPr="008A7038">
        <w:rPr>
          <w:rFonts w:ascii="Times New Roman" w:eastAsia="Times New Roman" w:hAnsi="Times New Roman" w:cs="Times New Roman"/>
          <w:sz w:val="24"/>
          <w:szCs w:val="24"/>
          <w:lang w:eastAsia="en-IN"/>
        </w:rPr>
        <w:t xml:space="preserve">Akash Bhansali, </w:t>
      </w:r>
      <w:r w:rsidR="00E301CC" w:rsidRPr="008A7038">
        <w:rPr>
          <w:rFonts w:ascii="Times New Roman" w:eastAsia="Times New Roman" w:hAnsi="Times New Roman" w:cs="Times New Roman"/>
          <w:sz w:val="24"/>
          <w:szCs w:val="24"/>
          <w:lang w:eastAsia="en-IN"/>
        </w:rPr>
        <w:t xml:space="preserve">and </w:t>
      </w:r>
      <w:r w:rsidRPr="008A7038">
        <w:rPr>
          <w:rFonts w:ascii="Times New Roman" w:eastAsia="Times New Roman" w:hAnsi="Times New Roman" w:cs="Times New Roman"/>
          <w:sz w:val="24"/>
          <w:szCs w:val="24"/>
          <w:lang w:eastAsia="en-IN"/>
        </w:rPr>
        <w:t xml:space="preserve">other family offices </w:t>
      </w:r>
      <w:r w:rsidR="00E301CC" w:rsidRPr="008A7038">
        <w:rPr>
          <w:rFonts w:ascii="Times New Roman" w:eastAsia="Times New Roman" w:hAnsi="Times New Roman" w:cs="Times New Roman"/>
          <w:sz w:val="24"/>
          <w:szCs w:val="24"/>
          <w:lang w:eastAsia="en-IN"/>
        </w:rPr>
        <w:t xml:space="preserve">&amp; </w:t>
      </w:r>
      <w:r w:rsidRPr="008A7038">
        <w:rPr>
          <w:rFonts w:ascii="Times New Roman" w:eastAsia="Times New Roman" w:hAnsi="Times New Roman" w:cs="Times New Roman"/>
          <w:sz w:val="24"/>
          <w:szCs w:val="24"/>
          <w:lang w:eastAsia="en-IN"/>
        </w:rPr>
        <w:t>HNI investors</w:t>
      </w:r>
      <w:r w:rsidR="00E301CC" w:rsidRPr="008A7038">
        <w:rPr>
          <w:rFonts w:ascii="Times New Roman" w:eastAsia="Times New Roman" w:hAnsi="Times New Roman" w:cs="Times New Roman"/>
          <w:sz w:val="24"/>
          <w:szCs w:val="24"/>
          <w:lang w:eastAsia="en-IN"/>
        </w:rPr>
        <w:t xml:space="preserve">. </w:t>
      </w:r>
      <w:r w:rsidRPr="008A7038">
        <w:rPr>
          <w:rFonts w:ascii="Times New Roman" w:eastAsia="Times New Roman" w:hAnsi="Times New Roman" w:cs="Times New Roman"/>
          <w:sz w:val="24"/>
          <w:szCs w:val="24"/>
          <w:lang w:eastAsia="en-IN"/>
        </w:rPr>
        <w:t xml:space="preserve"> </w:t>
      </w:r>
    </w:p>
    <w:p w14:paraId="5E2A7BDE" w14:textId="77777777" w:rsidR="00D40362" w:rsidRPr="007E73BF" w:rsidRDefault="00D40362" w:rsidP="00D40362">
      <w:pPr>
        <w:spacing w:before="100" w:beforeAutospacing="1" w:after="100" w:afterAutospacing="1" w:line="240" w:lineRule="auto"/>
        <w:rPr>
          <w:rFonts w:ascii="Times New Roman" w:hAnsi="Times New Roman" w:cs="Times New Roman"/>
          <w:b/>
          <w:bCs/>
          <w:sz w:val="24"/>
          <w:szCs w:val="24"/>
        </w:rPr>
      </w:pPr>
      <w:r w:rsidRPr="007E73BF">
        <w:rPr>
          <w:rFonts w:ascii="Times New Roman" w:hAnsi="Times New Roman" w:cs="Times New Roman"/>
          <w:sz w:val="24"/>
          <w:szCs w:val="24"/>
        </w:rPr>
        <w:t xml:space="preserve">Inox Clean, the integrated renewable energy platform of the INOXGFL Group, operates across the renewable IPP (Independent Power Producer) business under its subsidiary Inox Neo Energies Limited and the solar manufacturing business under its subsidiary Inox Solar Limited. </w:t>
      </w:r>
    </w:p>
    <w:p w14:paraId="68F0A853" w14:textId="7BF3F166" w:rsidR="00D40362" w:rsidRPr="007E73BF" w:rsidRDefault="00D40362" w:rsidP="00D40362">
      <w:pPr>
        <w:spacing w:before="100" w:beforeAutospacing="1" w:after="100" w:afterAutospacing="1" w:line="240" w:lineRule="auto"/>
        <w:rPr>
          <w:rFonts w:ascii="Times New Roman" w:hAnsi="Times New Roman" w:cs="Times New Roman"/>
          <w:sz w:val="24"/>
          <w:szCs w:val="24"/>
        </w:rPr>
      </w:pPr>
      <w:r w:rsidRPr="007E73BF">
        <w:rPr>
          <w:rFonts w:ascii="Times New Roman" w:hAnsi="Times New Roman" w:cs="Times New Roman"/>
          <w:sz w:val="24"/>
          <w:szCs w:val="24"/>
        </w:rPr>
        <w:t xml:space="preserve">Commenting on the investment, </w:t>
      </w:r>
      <w:r w:rsidRPr="007E73BF">
        <w:rPr>
          <w:rFonts w:ascii="Times New Roman" w:hAnsi="Times New Roman" w:cs="Times New Roman"/>
          <w:b/>
          <w:sz w:val="24"/>
          <w:szCs w:val="24"/>
        </w:rPr>
        <w:t>Mr Devansh Jain, Executive Director, INOXGFL Group</w:t>
      </w:r>
      <w:r w:rsidRPr="007E73BF">
        <w:rPr>
          <w:rFonts w:ascii="Times New Roman" w:hAnsi="Times New Roman" w:cs="Times New Roman"/>
          <w:sz w:val="24"/>
          <w:szCs w:val="24"/>
        </w:rPr>
        <w:t>, said, "This investment from the Motilal Oswal Group is a strong endorsement of our integrated business model, execution capabilities, and long-term vision. Today, Inox Clean has emerged as one of the fastest-growing integrated renewable energy platforms in India and globally. Through our 'One Integrated Strategy', we have built a unique ecosystem that brings together renewable power generation, solar manufacturing, wind turbine manufacturing, EPC, and O&amp;M capabilities under one umbrella, enabling us to deliver end-to-end clean energy solutions. We look forward to partnering with the Motilal Oswal Group as we accelerate our next phase of growth and create long-term value for all our stakeholders."</w:t>
      </w:r>
    </w:p>
    <w:p w14:paraId="76022DE7" w14:textId="77777777" w:rsidR="005E170C" w:rsidRDefault="00D40362" w:rsidP="008A7038">
      <w:pPr>
        <w:spacing w:before="100" w:beforeAutospacing="1" w:after="100" w:afterAutospacing="1" w:line="240" w:lineRule="auto"/>
        <w:rPr>
          <w:rFonts w:ascii="Times New Roman" w:hAnsi="Times New Roman" w:cs="Times New Roman"/>
          <w:sz w:val="24"/>
          <w:szCs w:val="24"/>
        </w:rPr>
      </w:pPr>
      <w:r w:rsidRPr="007E73BF">
        <w:rPr>
          <w:rFonts w:ascii="Times New Roman" w:hAnsi="Times New Roman" w:cs="Times New Roman"/>
          <w:sz w:val="24"/>
          <w:szCs w:val="24"/>
        </w:rPr>
        <w:t xml:space="preserve">Speaking on the occasion, </w:t>
      </w:r>
      <w:r w:rsidRPr="007E73BF">
        <w:rPr>
          <w:rFonts w:ascii="Times New Roman" w:hAnsi="Times New Roman" w:cs="Times New Roman"/>
          <w:b/>
          <w:sz w:val="24"/>
          <w:szCs w:val="24"/>
        </w:rPr>
        <w:t>Mr Rakshat Kapoor, Head - Private Credit at MO Alternates</w:t>
      </w:r>
      <w:r w:rsidRPr="007E73BF">
        <w:rPr>
          <w:rFonts w:ascii="Times New Roman" w:hAnsi="Times New Roman" w:cs="Times New Roman"/>
          <w:sz w:val="24"/>
          <w:szCs w:val="24"/>
        </w:rPr>
        <w:t xml:space="preserve">, said, "India's energy transition presents one of the most compelling long-term investment opportunities globally, and we believe Inox Clean is well positioned to capitalise on this transformational growth. The Company has built a differentiated integrated renewable energy platform, backed by strong execution capabilities, visionary leadership, and a long-term strategy. We are delighted to partner with INOXGFL Group promoted by exceptional entrepreneurs Mr. Vivek Jain and Mr. Devansh Jain. We look forward to supporting Inox </w:t>
      </w:r>
      <w:proofErr w:type="spellStart"/>
      <w:r w:rsidRPr="007E73BF">
        <w:rPr>
          <w:rFonts w:ascii="Times New Roman" w:hAnsi="Times New Roman" w:cs="Times New Roman"/>
          <w:sz w:val="24"/>
          <w:szCs w:val="24"/>
        </w:rPr>
        <w:t>Clean's</w:t>
      </w:r>
      <w:proofErr w:type="spellEnd"/>
      <w:r w:rsidRPr="007E73BF">
        <w:rPr>
          <w:rFonts w:ascii="Times New Roman" w:hAnsi="Times New Roman" w:cs="Times New Roman"/>
          <w:sz w:val="24"/>
          <w:szCs w:val="24"/>
        </w:rPr>
        <w:t xml:space="preserve"> journey towards building a globally leading integrated renewable energy platform while creating long-term value for all stakeholders."</w:t>
      </w:r>
    </w:p>
    <w:p w14:paraId="79FBC8FF" w14:textId="64FA6BB0" w:rsidR="00E14E33" w:rsidRPr="008A7038" w:rsidRDefault="00E14E33" w:rsidP="008A7038">
      <w:pPr>
        <w:spacing w:before="100" w:beforeAutospacing="1" w:after="100" w:afterAutospacing="1" w:line="240" w:lineRule="auto"/>
        <w:rPr>
          <w:rFonts w:ascii="Times New Roman" w:hAnsi="Times New Roman" w:cs="Times New Roman"/>
          <w:sz w:val="24"/>
          <w:szCs w:val="24"/>
        </w:rPr>
      </w:pPr>
      <w:r w:rsidRPr="008A7038">
        <w:rPr>
          <w:rFonts w:ascii="Times New Roman" w:hAnsi="Times New Roman" w:cs="Times New Roman"/>
          <w:sz w:val="24"/>
          <w:szCs w:val="24"/>
        </w:rPr>
        <w:t xml:space="preserve">Over the past eighteen months, Inox Clean has </w:t>
      </w:r>
      <w:r w:rsidRPr="008A7038">
        <w:rPr>
          <w:rFonts w:ascii="Times New Roman" w:eastAsia="Times New Roman" w:hAnsi="Times New Roman" w:cs="Times New Roman"/>
          <w:sz w:val="24"/>
          <w:szCs w:val="24"/>
          <w:lang w:eastAsia="en-IN"/>
        </w:rPr>
        <w:t>rapidly scaled</w:t>
      </w:r>
      <w:r w:rsidRPr="008A7038">
        <w:rPr>
          <w:rFonts w:ascii="Times New Roman" w:hAnsi="Times New Roman" w:cs="Times New Roman"/>
          <w:sz w:val="24"/>
          <w:szCs w:val="24"/>
        </w:rPr>
        <w:t xml:space="preserve"> through organic expansion and strategic acquisitions</w:t>
      </w:r>
      <w:r w:rsidRPr="008A7038">
        <w:rPr>
          <w:rFonts w:ascii="Times New Roman" w:eastAsia="Times New Roman" w:hAnsi="Times New Roman" w:cs="Times New Roman"/>
          <w:sz w:val="24"/>
          <w:szCs w:val="24"/>
          <w:lang w:eastAsia="en-IN"/>
        </w:rPr>
        <w:t>,</w:t>
      </w:r>
      <w:r w:rsidRPr="008A7038">
        <w:rPr>
          <w:rFonts w:ascii="Times New Roman" w:hAnsi="Times New Roman" w:cs="Times New Roman"/>
          <w:sz w:val="24"/>
          <w:szCs w:val="24"/>
        </w:rPr>
        <w:t xml:space="preserve"> strengthening its operating portfolio and development pipeline</w:t>
      </w:r>
      <w:r w:rsidRPr="008A7038">
        <w:rPr>
          <w:rFonts w:ascii="Times New Roman" w:eastAsia="Times New Roman" w:hAnsi="Times New Roman" w:cs="Times New Roman"/>
          <w:sz w:val="24"/>
          <w:szCs w:val="24"/>
          <w:lang w:eastAsia="en-IN"/>
        </w:rPr>
        <w:t>.</w:t>
      </w:r>
      <w:r w:rsidRPr="008A7038">
        <w:rPr>
          <w:rFonts w:ascii="Times New Roman" w:hAnsi="Times New Roman" w:cs="Times New Roman"/>
          <w:sz w:val="24"/>
          <w:szCs w:val="24"/>
        </w:rPr>
        <w:t xml:space="preserve"> These include the manufacturing assets of U.S. based </w:t>
      </w:r>
      <w:proofErr w:type="spellStart"/>
      <w:r w:rsidRPr="008A7038">
        <w:rPr>
          <w:rFonts w:ascii="Times New Roman" w:hAnsi="Times New Roman" w:cs="Times New Roman"/>
          <w:sz w:val="24"/>
          <w:szCs w:val="24"/>
        </w:rPr>
        <w:t>Boviet</w:t>
      </w:r>
      <w:proofErr w:type="spellEnd"/>
      <w:r w:rsidRPr="008A7038">
        <w:rPr>
          <w:rFonts w:ascii="Times New Roman" w:hAnsi="Times New Roman" w:cs="Times New Roman"/>
          <w:sz w:val="24"/>
          <w:szCs w:val="24"/>
        </w:rPr>
        <w:t xml:space="preserve"> Solar, as well as renewable energy </w:t>
      </w:r>
      <w:r w:rsidRPr="008A7038">
        <w:rPr>
          <w:rFonts w:ascii="Times New Roman" w:hAnsi="Times New Roman" w:cs="Times New Roman"/>
          <w:sz w:val="24"/>
          <w:szCs w:val="24"/>
        </w:rPr>
        <w:lastRenderedPageBreak/>
        <w:t>platforms backed by leading global investors, including BlackRock-owned GIP's Vena Energy, Macquarie-owned Vibrant Energy, SHV</w:t>
      </w:r>
      <w:r w:rsidRPr="008A7038">
        <w:rPr>
          <w:rFonts w:ascii="Times New Roman" w:eastAsia="Times New Roman" w:hAnsi="Times New Roman" w:cs="Times New Roman"/>
          <w:sz w:val="24"/>
          <w:szCs w:val="24"/>
          <w:lang w:eastAsia="en-IN"/>
        </w:rPr>
        <w:t>-</w:t>
      </w:r>
      <w:r w:rsidRPr="008A7038">
        <w:rPr>
          <w:rFonts w:ascii="Times New Roman" w:hAnsi="Times New Roman" w:cs="Times New Roman"/>
          <w:sz w:val="24"/>
          <w:szCs w:val="24"/>
        </w:rPr>
        <w:t xml:space="preserve">owned </w:t>
      </w:r>
      <w:proofErr w:type="spellStart"/>
      <w:r w:rsidRPr="008A7038">
        <w:rPr>
          <w:rFonts w:ascii="Times New Roman" w:hAnsi="Times New Roman" w:cs="Times New Roman"/>
          <w:sz w:val="24"/>
          <w:szCs w:val="24"/>
        </w:rPr>
        <w:t>SunSource</w:t>
      </w:r>
      <w:proofErr w:type="spellEnd"/>
      <w:r w:rsidRPr="008A7038">
        <w:rPr>
          <w:rFonts w:ascii="Times New Roman" w:hAnsi="Times New Roman" w:cs="Times New Roman"/>
          <w:sz w:val="24"/>
          <w:szCs w:val="24"/>
        </w:rPr>
        <w:t xml:space="preserve"> Energy, and CalPERS-backed </w:t>
      </w:r>
      <w:proofErr w:type="spellStart"/>
      <w:r w:rsidRPr="008A7038">
        <w:rPr>
          <w:rFonts w:ascii="Times New Roman" w:hAnsi="Times New Roman" w:cs="Times New Roman"/>
          <w:sz w:val="24"/>
          <w:szCs w:val="24"/>
        </w:rPr>
        <w:t>SkyPower</w:t>
      </w:r>
      <w:proofErr w:type="spellEnd"/>
      <w:r w:rsidRPr="008A7038">
        <w:rPr>
          <w:rFonts w:ascii="Times New Roman" w:hAnsi="Times New Roman" w:cs="Times New Roman"/>
          <w:sz w:val="24"/>
          <w:szCs w:val="24"/>
        </w:rPr>
        <w:t>, including its Africa business.</w:t>
      </w:r>
    </w:p>
    <w:p w14:paraId="4CE543DB" w14:textId="5F890D85" w:rsidR="00E14E33" w:rsidRPr="008A7038" w:rsidRDefault="00E14E33" w:rsidP="008A7038">
      <w:pPr>
        <w:spacing w:before="100" w:beforeAutospacing="1" w:after="100" w:afterAutospacing="1" w:line="240" w:lineRule="auto"/>
        <w:rPr>
          <w:rFonts w:ascii="Times New Roman" w:eastAsia="Times New Roman" w:hAnsi="Times New Roman" w:cs="Times New Roman"/>
          <w:sz w:val="24"/>
          <w:szCs w:val="24"/>
          <w:lang w:eastAsia="en-IN"/>
        </w:rPr>
      </w:pPr>
      <w:r w:rsidRPr="008A7038">
        <w:rPr>
          <w:rStyle w:val="Strong"/>
          <w:rFonts w:ascii="Times New Roman" w:hAnsi="Times New Roman" w:cs="Times New Roman"/>
          <w:b w:val="0"/>
          <w:bCs w:val="0"/>
          <w:sz w:val="24"/>
          <w:szCs w:val="24"/>
        </w:rPr>
        <w:t xml:space="preserve">Inox </w:t>
      </w:r>
      <w:proofErr w:type="spellStart"/>
      <w:r w:rsidRPr="008A7038">
        <w:rPr>
          <w:rStyle w:val="Strong"/>
          <w:rFonts w:ascii="Times New Roman" w:hAnsi="Times New Roman" w:cs="Times New Roman"/>
          <w:b w:val="0"/>
          <w:bCs w:val="0"/>
          <w:sz w:val="24"/>
          <w:szCs w:val="24"/>
        </w:rPr>
        <w:t>Clean's</w:t>
      </w:r>
      <w:proofErr w:type="spellEnd"/>
      <w:r w:rsidRPr="008A7038">
        <w:rPr>
          <w:rStyle w:val="Strong"/>
          <w:rFonts w:ascii="Times New Roman" w:hAnsi="Times New Roman" w:cs="Times New Roman"/>
          <w:b w:val="0"/>
          <w:bCs w:val="0"/>
          <w:sz w:val="24"/>
          <w:szCs w:val="24"/>
        </w:rPr>
        <w:t xml:space="preserve"> renewable IPP portfolio in India has scaled to 3 GW at the end of </w:t>
      </w:r>
      <w:r w:rsidR="00532ED9" w:rsidRPr="008A7038">
        <w:rPr>
          <w:rStyle w:val="Strong"/>
          <w:rFonts w:ascii="Times New Roman" w:hAnsi="Times New Roman" w:cs="Times New Roman"/>
          <w:b w:val="0"/>
          <w:bCs w:val="0"/>
          <w:sz w:val="24"/>
          <w:szCs w:val="24"/>
        </w:rPr>
        <w:t xml:space="preserve">June 2026 </w:t>
      </w:r>
      <w:r w:rsidRPr="008A7038">
        <w:rPr>
          <w:rStyle w:val="Strong"/>
          <w:rFonts w:ascii="Times New Roman" w:hAnsi="Times New Roman" w:cs="Times New Roman"/>
          <w:b w:val="0"/>
          <w:bCs w:val="0"/>
          <w:sz w:val="24"/>
          <w:szCs w:val="24"/>
        </w:rPr>
        <w:t xml:space="preserve">and is expected to exceed 6 GW of operational capacity by the end of FY27, positioning the </w:t>
      </w:r>
      <w:r w:rsidR="000A6874" w:rsidRPr="008A7038">
        <w:rPr>
          <w:rStyle w:val="Strong"/>
          <w:rFonts w:ascii="Times New Roman" w:hAnsi="Times New Roman" w:cs="Times New Roman"/>
          <w:b w:val="0"/>
          <w:bCs w:val="0"/>
          <w:sz w:val="24"/>
          <w:szCs w:val="24"/>
        </w:rPr>
        <w:t>C</w:t>
      </w:r>
      <w:r w:rsidRPr="008A7038">
        <w:rPr>
          <w:rStyle w:val="Strong"/>
          <w:rFonts w:ascii="Times New Roman" w:hAnsi="Times New Roman" w:cs="Times New Roman"/>
          <w:b w:val="0"/>
          <w:bCs w:val="0"/>
          <w:sz w:val="24"/>
          <w:szCs w:val="24"/>
        </w:rPr>
        <w:t>ompany among the fastest-scaling IPP platforms.</w:t>
      </w:r>
      <w:r w:rsidRPr="008A7038">
        <w:rPr>
          <w:rFonts w:ascii="Times New Roman" w:hAnsi="Times New Roman" w:cs="Times New Roman"/>
          <w:sz w:val="24"/>
          <w:szCs w:val="24"/>
        </w:rPr>
        <w:t xml:space="preserve">  </w:t>
      </w:r>
      <w:r w:rsidRPr="008A7038">
        <w:rPr>
          <w:rFonts w:ascii="Times New Roman" w:eastAsia="Times New Roman" w:hAnsi="Times New Roman" w:cs="Times New Roman"/>
          <w:sz w:val="24"/>
          <w:szCs w:val="24"/>
          <w:lang w:eastAsia="en-IN"/>
        </w:rPr>
        <w:t xml:space="preserve">The </w:t>
      </w:r>
      <w:r w:rsidR="000A6874" w:rsidRPr="008A7038">
        <w:rPr>
          <w:rFonts w:ascii="Times New Roman" w:eastAsia="Times New Roman" w:hAnsi="Times New Roman" w:cs="Times New Roman"/>
          <w:sz w:val="24"/>
          <w:szCs w:val="24"/>
          <w:lang w:eastAsia="en-IN"/>
        </w:rPr>
        <w:t>C</w:t>
      </w:r>
      <w:r w:rsidRPr="008A7038">
        <w:rPr>
          <w:rFonts w:ascii="Times New Roman" w:eastAsia="Times New Roman" w:hAnsi="Times New Roman" w:cs="Times New Roman"/>
          <w:sz w:val="24"/>
          <w:szCs w:val="24"/>
          <w:lang w:eastAsia="en-IN"/>
        </w:rPr>
        <w:t>ompany’s Africa IPP business has also commenced project construction in Zimbabwe. Africa represents a significant structural opportunity with attractive project IRRs and sovereign PPAs, land and grid connectivity already in place.</w:t>
      </w:r>
    </w:p>
    <w:p w14:paraId="793C52F4" w14:textId="3BF03E63" w:rsidR="00E14E33" w:rsidRPr="008A7038" w:rsidRDefault="009702E0" w:rsidP="008A7038">
      <w:pPr>
        <w:spacing w:before="100" w:beforeAutospacing="1" w:after="100" w:afterAutospacing="1" w:line="240" w:lineRule="auto"/>
        <w:rPr>
          <w:rFonts w:ascii="Times New Roman" w:eastAsia="Times New Roman" w:hAnsi="Times New Roman" w:cs="Times New Roman"/>
          <w:sz w:val="24"/>
          <w:szCs w:val="24"/>
          <w:lang w:eastAsia="en-IN"/>
        </w:rPr>
      </w:pPr>
      <w:r w:rsidRPr="008A7038">
        <w:rPr>
          <w:rFonts w:ascii="Times New Roman" w:eastAsia="Times New Roman" w:hAnsi="Times New Roman" w:cs="Times New Roman"/>
          <w:sz w:val="24"/>
          <w:szCs w:val="24"/>
          <w:lang w:eastAsia="en-IN"/>
        </w:rPr>
        <w:t>The</w:t>
      </w:r>
      <w:r w:rsidR="00D52C01" w:rsidRPr="008A7038">
        <w:rPr>
          <w:rFonts w:ascii="Times New Roman" w:eastAsia="Times New Roman" w:hAnsi="Times New Roman" w:cs="Times New Roman"/>
          <w:sz w:val="24"/>
          <w:szCs w:val="24"/>
          <w:lang w:eastAsia="en-IN"/>
        </w:rPr>
        <w:t xml:space="preserve"> solar manufacturing</w:t>
      </w:r>
      <w:r w:rsidRPr="008A7038">
        <w:rPr>
          <w:rFonts w:ascii="Times New Roman" w:eastAsia="Times New Roman" w:hAnsi="Times New Roman" w:cs="Times New Roman"/>
          <w:sz w:val="24"/>
          <w:szCs w:val="24"/>
          <w:lang w:eastAsia="en-IN"/>
        </w:rPr>
        <w:t xml:space="preserve"> vertical of</w:t>
      </w:r>
      <w:r w:rsidR="00D52C01" w:rsidRPr="008A7038">
        <w:rPr>
          <w:rFonts w:ascii="Times New Roman" w:eastAsia="Times New Roman" w:hAnsi="Times New Roman" w:cs="Times New Roman"/>
          <w:sz w:val="24"/>
          <w:szCs w:val="24"/>
          <w:lang w:eastAsia="en-IN"/>
        </w:rPr>
        <w:t xml:space="preserve"> Inox Clean is building a large manufacturing footprint</w:t>
      </w:r>
      <w:r w:rsidR="00E14E33" w:rsidRPr="008A7038">
        <w:rPr>
          <w:rFonts w:ascii="Times New Roman" w:eastAsia="Times New Roman" w:hAnsi="Times New Roman" w:cs="Times New Roman"/>
          <w:sz w:val="24"/>
          <w:szCs w:val="24"/>
          <w:lang w:eastAsia="en-IN"/>
        </w:rPr>
        <w:t xml:space="preserve"> in India</w:t>
      </w:r>
      <w:r w:rsidR="00D52C01" w:rsidRPr="008A7038">
        <w:rPr>
          <w:rFonts w:ascii="Times New Roman" w:eastAsia="Times New Roman" w:hAnsi="Times New Roman" w:cs="Times New Roman"/>
          <w:sz w:val="24"/>
          <w:szCs w:val="24"/>
          <w:lang w:eastAsia="en-IN"/>
        </w:rPr>
        <w:t xml:space="preserve">, with </w:t>
      </w:r>
      <w:r w:rsidR="00E14E33" w:rsidRPr="008A7038">
        <w:rPr>
          <w:rFonts w:ascii="Times New Roman" w:eastAsia="Times New Roman" w:hAnsi="Times New Roman" w:cs="Times New Roman"/>
          <w:sz w:val="24"/>
          <w:szCs w:val="24"/>
          <w:lang w:eastAsia="en-IN"/>
        </w:rPr>
        <w:t xml:space="preserve">a </w:t>
      </w:r>
      <w:r w:rsidR="00D52C01" w:rsidRPr="008A7038">
        <w:rPr>
          <w:rFonts w:ascii="Times New Roman" w:eastAsia="Times New Roman" w:hAnsi="Times New Roman" w:cs="Times New Roman"/>
          <w:sz w:val="24"/>
          <w:szCs w:val="24"/>
          <w:lang w:eastAsia="en-IN"/>
        </w:rPr>
        <w:t>3 GW module facility in Gujarat already operational and a 5 GW module and cell facility</w:t>
      </w:r>
      <w:r w:rsidRPr="008A7038">
        <w:rPr>
          <w:rFonts w:ascii="Times New Roman" w:eastAsia="Times New Roman" w:hAnsi="Times New Roman" w:cs="Times New Roman"/>
          <w:sz w:val="24"/>
          <w:szCs w:val="24"/>
          <w:lang w:eastAsia="en-IN"/>
        </w:rPr>
        <w:t xml:space="preserve"> under-development</w:t>
      </w:r>
      <w:r w:rsidR="00D52C01" w:rsidRPr="008A7038">
        <w:rPr>
          <w:rFonts w:ascii="Times New Roman" w:eastAsia="Times New Roman" w:hAnsi="Times New Roman" w:cs="Times New Roman"/>
          <w:sz w:val="24"/>
          <w:szCs w:val="24"/>
          <w:lang w:eastAsia="en-IN"/>
        </w:rPr>
        <w:t xml:space="preserve">. Inox </w:t>
      </w:r>
      <w:proofErr w:type="spellStart"/>
      <w:r w:rsidR="00D52C01" w:rsidRPr="008A7038">
        <w:rPr>
          <w:rFonts w:ascii="Times New Roman" w:eastAsia="Times New Roman" w:hAnsi="Times New Roman" w:cs="Times New Roman"/>
          <w:sz w:val="24"/>
          <w:szCs w:val="24"/>
          <w:lang w:eastAsia="en-IN"/>
        </w:rPr>
        <w:t>Clean</w:t>
      </w:r>
      <w:r w:rsidRPr="008A7038">
        <w:rPr>
          <w:rFonts w:ascii="Times New Roman" w:eastAsia="Times New Roman" w:hAnsi="Times New Roman" w:cs="Times New Roman"/>
          <w:sz w:val="24"/>
          <w:szCs w:val="24"/>
          <w:lang w:eastAsia="en-IN"/>
        </w:rPr>
        <w:t>’s</w:t>
      </w:r>
      <w:proofErr w:type="spellEnd"/>
      <w:r w:rsidRPr="008A7038">
        <w:rPr>
          <w:rFonts w:ascii="Times New Roman" w:eastAsia="Times New Roman" w:hAnsi="Times New Roman" w:cs="Times New Roman"/>
          <w:sz w:val="24"/>
          <w:szCs w:val="24"/>
          <w:lang w:eastAsia="en-IN"/>
        </w:rPr>
        <w:t xml:space="preserve"> US solar operations</w:t>
      </w:r>
      <w:r w:rsidR="00D52C01" w:rsidRPr="008A7038">
        <w:rPr>
          <w:rFonts w:ascii="Times New Roman" w:eastAsia="Times New Roman" w:hAnsi="Times New Roman" w:cs="Times New Roman"/>
          <w:sz w:val="24"/>
          <w:szCs w:val="24"/>
          <w:lang w:eastAsia="en-IN"/>
        </w:rPr>
        <w:t xml:space="preserve"> has </w:t>
      </w:r>
      <w:r w:rsidRPr="008A7038">
        <w:rPr>
          <w:rFonts w:ascii="Times New Roman" w:eastAsia="Times New Roman" w:hAnsi="Times New Roman" w:cs="Times New Roman"/>
          <w:sz w:val="24"/>
          <w:szCs w:val="24"/>
          <w:lang w:eastAsia="en-IN"/>
        </w:rPr>
        <w:t>established</w:t>
      </w:r>
      <w:r w:rsidR="00D52C01" w:rsidRPr="008A7038">
        <w:rPr>
          <w:rFonts w:ascii="Times New Roman" w:eastAsia="Times New Roman" w:hAnsi="Times New Roman" w:cs="Times New Roman"/>
          <w:sz w:val="24"/>
          <w:szCs w:val="24"/>
          <w:lang w:eastAsia="en-IN"/>
        </w:rPr>
        <w:t xml:space="preserve"> a 3 GW module manufacturing facility with a further 3 GW cell manufacturing facility expected to be operational soon. </w:t>
      </w:r>
      <w:r w:rsidR="00E14E33" w:rsidRPr="008A7038">
        <w:rPr>
          <w:rFonts w:ascii="Times New Roman" w:eastAsia="Times New Roman" w:hAnsi="Times New Roman" w:cs="Times New Roman"/>
          <w:sz w:val="24"/>
          <w:szCs w:val="24"/>
          <w:lang w:eastAsia="en-IN"/>
        </w:rPr>
        <w:t>The US manufacturing footprint is positioned to</w:t>
      </w:r>
      <w:r w:rsidR="00532ED9" w:rsidRPr="008A7038">
        <w:rPr>
          <w:rFonts w:ascii="Times New Roman" w:eastAsia="Times New Roman" w:hAnsi="Times New Roman" w:cs="Times New Roman"/>
          <w:sz w:val="24"/>
          <w:szCs w:val="24"/>
          <w:lang w:eastAsia="en-IN"/>
        </w:rPr>
        <w:t xml:space="preserve"> significantly</w:t>
      </w:r>
      <w:r w:rsidR="00E14E33" w:rsidRPr="008A7038">
        <w:rPr>
          <w:rFonts w:ascii="Times New Roman" w:eastAsia="Times New Roman" w:hAnsi="Times New Roman" w:cs="Times New Roman"/>
          <w:sz w:val="24"/>
          <w:szCs w:val="24"/>
          <w:lang w:eastAsia="en-IN"/>
        </w:rPr>
        <w:t xml:space="preserve"> benefit from 45X tax credits under the IRA </w:t>
      </w:r>
      <w:r w:rsidR="000563CA" w:rsidRPr="008A7038">
        <w:rPr>
          <w:rFonts w:ascii="Times New Roman" w:eastAsia="Times New Roman" w:hAnsi="Times New Roman" w:cs="Times New Roman"/>
          <w:sz w:val="24"/>
          <w:szCs w:val="24"/>
          <w:lang w:eastAsia="en-IN"/>
        </w:rPr>
        <w:t xml:space="preserve">policy </w:t>
      </w:r>
      <w:r w:rsidR="00E14E33" w:rsidRPr="008A7038">
        <w:rPr>
          <w:rFonts w:ascii="Times New Roman" w:eastAsia="Times New Roman" w:hAnsi="Times New Roman" w:cs="Times New Roman"/>
          <w:sz w:val="24"/>
          <w:szCs w:val="24"/>
          <w:lang w:eastAsia="en-IN"/>
        </w:rPr>
        <w:t>and recent Section 232 measures, strengthening</w:t>
      </w:r>
      <w:r w:rsidR="000563CA" w:rsidRPr="008A7038">
        <w:rPr>
          <w:rFonts w:ascii="Times New Roman" w:eastAsia="Times New Roman" w:hAnsi="Times New Roman" w:cs="Times New Roman"/>
          <w:sz w:val="24"/>
          <w:szCs w:val="24"/>
          <w:lang w:eastAsia="en-IN"/>
        </w:rPr>
        <w:t xml:space="preserve"> the </w:t>
      </w:r>
      <w:r w:rsidR="000A6874" w:rsidRPr="008A7038">
        <w:rPr>
          <w:rFonts w:ascii="Times New Roman" w:eastAsia="Times New Roman" w:hAnsi="Times New Roman" w:cs="Times New Roman"/>
          <w:sz w:val="24"/>
          <w:szCs w:val="24"/>
          <w:lang w:eastAsia="en-IN"/>
        </w:rPr>
        <w:t>Company</w:t>
      </w:r>
      <w:r w:rsidR="000563CA" w:rsidRPr="008A7038">
        <w:rPr>
          <w:rFonts w:ascii="Times New Roman" w:eastAsia="Times New Roman" w:hAnsi="Times New Roman" w:cs="Times New Roman"/>
          <w:sz w:val="24"/>
          <w:szCs w:val="24"/>
          <w:lang w:eastAsia="en-IN"/>
        </w:rPr>
        <w:t>’s</w:t>
      </w:r>
      <w:r w:rsidR="00E14E33" w:rsidRPr="008A7038">
        <w:rPr>
          <w:rFonts w:ascii="Times New Roman" w:eastAsia="Times New Roman" w:hAnsi="Times New Roman" w:cs="Times New Roman"/>
          <w:sz w:val="24"/>
          <w:szCs w:val="24"/>
          <w:lang w:eastAsia="en-IN"/>
        </w:rPr>
        <w:t xml:space="preserve"> profitability in one of the world's largest solar markets.</w:t>
      </w:r>
    </w:p>
    <w:p w14:paraId="3C629E6C" w14:textId="77777777" w:rsidR="00477476" w:rsidRDefault="00A45895" w:rsidP="004D6472">
      <w:pPr>
        <w:spacing w:before="100" w:beforeAutospacing="1" w:after="100" w:afterAutospacing="1"/>
        <w:rPr>
          <w:rFonts w:ascii="Times New Roman" w:hAnsi="Times New Roman" w:cs="Times New Roman"/>
          <w:sz w:val="24"/>
          <w:szCs w:val="24"/>
        </w:rPr>
      </w:pPr>
      <w:r w:rsidRPr="008A7038">
        <w:rPr>
          <w:rFonts w:ascii="Times New Roman" w:eastAsia="Times New Roman" w:hAnsi="Times New Roman" w:cs="Times New Roman"/>
          <w:sz w:val="24"/>
          <w:szCs w:val="24"/>
          <w:lang w:eastAsia="en-IN"/>
        </w:rPr>
        <w:t>Underpinned by</w:t>
      </w:r>
      <w:r w:rsidRPr="008A7038">
        <w:rPr>
          <w:rFonts w:ascii="Times New Roman" w:hAnsi="Times New Roman" w:cs="Times New Roman"/>
          <w:sz w:val="24"/>
          <w:szCs w:val="24"/>
        </w:rPr>
        <w:t xml:space="preserve"> the INOXGFL Group's </w:t>
      </w:r>
      <w:r w:rsidRPr="008A7038">
        <w:rPr>
          <w:rFonts w:ascii="Times New Roman" w:eastAsia="Times New Roman" w:hAnsi="Times New Roman" w:cs="Times New Roman"/>
          <w:sz w:val="24"/>
          <w:szCs w:val="24"/>
          <w:lang w:eastAsia="en-IN"/>
        </w:rPr>
        <w:t>'One Integrated Strategy', Inox Clean brings together the complementary capabilities of Inox Wind</w:t>
      </w:r>
      <w:r w:rsidRPr="008A7038">
        <w:rPr>
          <w:rFonts w:ascii="Times New Roman" w:hAnsi="Times New Roman" w:cs="Times New Roman"/>
          <w:sz w:val="24"/>
          <w:szCs w:val="24"/>
        </w:rPr>
        <w:t xml:space="preserve"> in wind turbine manufacturing, </w:t>
      </w:r>
      <w:r w:rsidRPr="008A7038">
        <w:rPr>
          <w:rFonts w:ascii="Times New Roman" w:eastAsia="Times New Roman" w:hAnsi="Times New Roman" w:cs="Times New Roman"/>
          <w:sz w:val="24"/>
          <w:szCs w:val="24"/>
          <w:lang w:eastAsia="en-IN"/>
        </w:rPr>
        <w:t xml:space="preserve">Inox Renewable Solutions in </w:t>
      </w:r>
      <w:r w:rsidRPr="008A7038">
        <w:rPr>
          <w:rFonts w:ascii="Times New Roman" w:hAnsi="Times New Roman" w:cs="Times New Roman"/>
          <w:sz w:val="24"/>
          <w:szCs w:val="24"/>
        </w:rPr>
        <w:t xml:space="preserve">EPC, and </w:t>
      </w:r>
      <w:r w:rsidRPr="008A7038">
        <w:rPr>
          <w:rFonts w:ascii="Times New Roman" w:eastAsia="Times New Roman" w:hAnsi="Times New Roman" w:cs="Times New Roman"/>
          <w:sz w:val="24"/>
          <w:szCs w:val="24"/>
          <w:lang w:eastAsia="en-IN"/>
        </w:rPr>
        <w:t xml:space="preserve">Inox Green Energy Services in O&amp;M, creating a synergistic ecosystem across the Group. The interplay </w:t>
      </w:r>
      <w:r w:rsidR="00E14E33" w:rsidRPr="008A7038">
        <w:rPr>
          <w:rFonts w:ascii="Times New Roman" w:eastAsia="Times New Roman" w:hAnsi="Times New Roman" w:cs="Times New Roman"/>
          <w:sz w:val="24"/>
          <w:szCs w:val="24"/>
          <w:lang w:eastAsia="en-IN"/>
        </w:rPr>
        <w:t>amongst</w:t>
      </w:r>
      <w:r w:rsidRPr="008A7038">
        <w:rPr>
          <w:rFonts w:ascii="Times New Roman" w:eastAsia="Times New Roman" w:hAnsi="Times New Roman" w:cs="Times New Roman"/>
          <w:sz w:val="24"/>
          <w:szCs w:val="24"/>
          <w:lang w:eastAsia="en-IN"/>
        </w:rPr>
        <w:t xml:space="preserve"> these businesses enables faster execution, greater supply chain reliability, and </w:t>
      </w:r>
      <w:r w:rsidR="00E14E33" w:rsidRPr="008A7038">
        <w:rPr>
          <w:rFonts w:ascii="Times New Roman" w:eastAsia="Times New Roman" w:hAnsi="Times New Roman" w:cs="Times New Roman"/>
          <w:sz w:val="24"/>
          <w:szCs w:val="24"/>
          <w:lang w:eastAsia="en-IN"/>
        </w:rPr>
        <w:t>up</w:t>
      </w:r>
      <w:r w:rsidRPr="008A7038">
        <w:rPr>
          <w:rFonts w:ascii="Times New Roman" w:eastAsia="Times New Roman" w:hAnsi="Times New Roman" w:cs="Times New Roman"/>
          <w:sz w:val="24"/>
          <w:szCs w:val="24"/>
          <w:lang w:eastAsia="en-IN"/>
        </w:rPr>
        <w:t>-selling of products and</w:t>
      </w:r>
      <w:r w:rsidRPr="008A7038">
        <w:rPr>
          <w:rFonts w:ascii="Times New Roman" w:hAnsi="Times New Roman" w:cs="Times New Roman"/>
          <w:sz w:val="24"/>
          <w:szCs w:val="24"/>
        </w:rPr>
        <w:t xml:space="preserve"> services, </w:t>
      </w:r>
      <w:r w:rsidRPr="008A7038">
        <w:rPr>
          <w:rFonts w:ascii="Times New Roman" w:eastAsia="Times New Roman" w:hAnsi="Times New Roman" w:cs="Times New Roman"/>
          <w:sz w:val="24"/>
          <w:szCs w:val="24"/>
          <w:lang w:eastAsia="en-IN"/>
        </w:rPr>
        <w:t xml:space="preserve">allowing each Group </w:t>
      </w:r>
      <w:r w:rsidR="000A6874" w:rsidRPr="008A7038">
        <w:rPr>
          <w:rFonts w:ascii="Times New Roman" w:eastAsia="Times New Roman" w:hAnsi="Times New Roman" w:cs="Times New Roman"/>
          <w:sz w:val="24"/>
          <w:szCs w:val="24"/>
          <w:lang w:eastAsia="en-IN"/>
        </w:rPr>
        <w:t>Company</w:t>
      </w:r>
      <w:r w:rsidRPr="008A7038">
        <w:rPr>
          <w:rFonts w:ascii="Times New Roman" w:eastAsia="Times New Roman" w:hAnsi="Times New Roman" w:cs="Times New Roman"/>
          <w:sz w:val="24"/>
          <w:szCs w:val="24"/>
          <w:lang w:eastAsia="en-IN"/>
        </w:rPr>
        <w:t xml:space="preserve"> to participate in the expanding</w:t>
      </w:r>
      <w:r w:rsidRPr="008A7038">
        <w:rPr>
          <w:rFonts w:ascii="Times New Roman" w:hAnsi="Times New Roman" w:cs="Times New Roman"/>
          <w:sz w:val="24"/>
          <w:szCs w:val="24"/>
        </w:rPr>
        <w:t xml:space="preserve"> renewable energy </w:t>
      </w:r>
      <w:r w:rsidRPr="008A7038">
        <w:rPr>
          <w:rFonts w:ascii="Times New Roman" w:eastAsia="Times New Roman" w:hAnsi="Times New Roman" w:cs="Times New Roman"/>
          <w:sz w:val="24"/>
          <w:szCs w:val="24"/>
          <w:lang w:eastAsia="en-IN"/>
        </w:rPr>
        <w:t>value chain</w:t>
      </w:r>
      <w:r w:rsidRPr="008A7038">
        <w:rPr>
          <w:rFonts w:ascii="Times New Roman" w:hAnsi="Times New Roman" w:cs="Times New Roman"/>
          <w:sz w:val="24"/>
          <w:szCs w:val="24"/>
        </w:rPr>
        <w:t>.</w:t>
      </w:r>
    </w:p>
    <w:p w14:paraId="7DC29EFC" w14:textId="4DE3EF5D" w:rsidR="00266F81" w:rsidRPr="008A7038" w:rsidRDefault="00266F81" w:rsidP="004D6472">
      <w:pPr>
        <w:spacing w:before="100" w:beforeAutospacing="1" w:after="100" w:afterAutospacing="1"/>
        <w:rPr>
          <w:rFonts w:ascii="Times New Roman" w:hAnsi="Times New Roman" w:cs="Times New Roman"/>
          <w:b/>
          <w:sz w:val="24"/>
          <w:szCs w:val="24"/>
          <w:u w:val="single"/>
        </w:rPr>
      </w:pPr>
      <w:r w:rsidRPr="008A7038">
        <w:rPr>
          <w:rFonts w:ascii="Times New Roman" w:hAnsi="Times New Roman" w:cs="Times New Roman"/>
          <w:b/>
          <w:sz w:val="24"/>
          <w:szCs w:val="24"/>
          <w:u w:val="single"/>
        </w:rPr>
        <w:t xml:space="preserve">About Motilal </w:t>
      </w:r>
      <w:proofErr w:type="spellStart"/>
      <w:r w:rsidRPr="008A7038">
        <w:rPr>
          <w:rFonts w:ascii="Times New Roman" w:hAnsi="Times New Roman" w:cs="Times New Roman"/>
          <w:b/>
          <w:sz w:val="24"/>
          <w:szCs w:val="24"/>
          <w:u w:val="single"/>
        </w:rPr>
        <w:t>Oswal</w:t>
      </w:r>
      <w:proofErr w:type="spellEnd"/>
      <w:r w:rsidRPr="008A7038">
        <w:rPr>
          <w:rFonts w:ascii="Times New Roman" w:hAnsi="Times New Roman" w:cs="Times New Roman"/>
          <w:b/>
          <w:sz w:val="24"/>
          <w:szCs w:val="24"/>
          <w:u w:val="single"/>
        </w:rPr>
        <w:t xml:space="preserve"> Alternates – Private Credit</w:t>
      </w:r>
    </w:p>
    <w:p w14:paraId="751A640E" w14:textId="44341445" w:rsidR="008B7FA8" w:rsidRPr="008A7038" w:rsidRDefault="00266F81" w:rsidP="008A7038">
      <w:pPr>
        <w:spacing w:before="100" w:beforeAutospacing="1" w:after="100" w:afterAutospacing="1"/>
        <w:rPr>
          <w:rFonts w:ascii="Times New Roman" w:hAnsi="Times New Roman" w:cs="Times New Roman"/>
          <w:sz w:val="24"/>
          <w:szCs w:val="24"/>
          <w:lang w:eastAsia="en-IN"/>
        </w:rPr>
      </w:pPr>
      <w:r w:rsidRPr="008A7038">
        <w:rPr>
          <w:rFonts w:ascii="Times New Roman" w:hAnsi="Times New Roman" w:cs="Times New Roman"/>
          <w:sz w:val="24"/>
          <w:szCs w:val="24"/>
          <w:lang w:eastAsia="en-IN"/>
        </w:rPr>
        <w:t xml:space="preserve">Motilal Oswal Alternate Investment Advisors Private Limited </w:t>
      </w:r>
      <w:r w:rsidRPr="008A7038">
        <w:rPr>
          <w:rFonts w:ascii="Times New Roman" w:hAnsi="Times New Roman" w:cs="Times New Roman"/>
          <w:sz w:val="24"/>
          <w:szCs w:val="24"/>
        </w:rPr>
        <w:t xml:space="preserve">is the alternative investment arm of Motilal Oswal Financial Services Limited, comprising Private Credit, Private Equity and Real Estate funds. In June 2026, Motilal Oswal Alternates announced the second close of its maiden private credit fund, India Credit Excellence Fund - I (“the Fund”), at INR 2,438 crore. The Fund, launched in January 2026, targets a total corpus of INR 3,000 crore including green shoe. The final close is envisaged in the near term and the Fund has a strong pipeline of investment opportunities. </w:t>
      </w:r>
      <w:r w:rsidRPr="008A7038">
        <w:rPr>
          <w:rFonts w:ascii="Times New Roman" w:hAnsi="Times New Roman" w:cs="Times New Roman"/>
          <w:sz w:val="24"/>
          <w:szCs w:val="24"/>
          <w:lang w:eastAsia="en-IN"/>
        </w:rPr>
        <w:t xml:space="preserve"> </w:t>
      </w:r>
    </w:p>
    <w:p w14:paraId="494A60BE" w14:textId="58309663" w:rsidR="00266F81" w:rsidRPr="008A7038" w:rsidRDefault="00266F81" w:rsidP="004D6472">
      <w:pPr>
        <w:spacing w:before="100" w:beforeAutospacing="1" w:after="100" w:afterAutospacing="1"/>
        <w:rPr>
          <w:rFonts w:ascii="Times New Roman" w:hAnsi="Times New Roman" w:cs="Times New Roman"/>
          <w:b/>
          <w:sz w:val="24"/>
          <w:szCs w:val="24"/>
          <w:u w:val="single"/>
        </w:rPr>
      </w:pPr>
      <w:r w:rsidRPr="008A7038">
        <w:rPr>
          <w:rFonts w:ascii="Times New Roman" w:hAnsi="Times New Roman" w:cs="Times New Roman"/>
          <w:b/>
          <w:sz w:val="24"/>
          <w:szCs w:val="24"/>
          <w:u w:val="single"/>
        </w:rPr>
        <w:t>About Motilal Oswal Group</w:t>
      </w:r>
    </w:p>
    <w:p w14:paraId="1F893ADA" w14:textId="77777777" w:rsidR="004D6472" w:rsidRPr="008A7038" w:rsidRDefault="00266F81" w:rsidP="004D6472">
      <w:pPr>
        <w:spacing w:before="100" w:beforeAutospacing="1" w:after="100" w:afterAutospacing="1"/>
        <w:rPr>
          <w:rFonts w:ascii="Times New Roman" w:hAnsi="Times New Roman" w:cs="Times New Roman"/>
          <w:b/>
          <w:bCs/>
          <w:sz w:val="24"/>
          <w:szCs w:val="24"/>
          <w:u w:val="single"/>
          <w:lang w:eastAsia="en-IN"/>
        </w:rPr>
      </w:pPr>
      <w:r w:rsidRPr="008A7038">
        <w:rPr>
          <w:rFonts w:ascii="Times New Roman" w:hAnsi="Times New Roman" w:cs="Times New Roman"/>
          <w:sz w:val="24"/>
          <w:szCs w:val="24"/>
        </w:rPr>
        <w:t>Motilal Oswal Group is one of India's largest diversified financial services conglomerates with a well-established presence across capital markets, wealth and asset management, investment banking, private capital, and home finance. The Group operates through multiple business verticals including broking, asset management, private wealth advisory, investment banking, and alternatives (private credit, hedge funds, and direct investments). Motilal Oswal Alternates, the private capital arm of the Group, manages alternative investments including private credit, hedge funds, and direct investments, with a focus on building long-term value across India's critical infrastructure and high-growth sectors.</w:t>
      </w:r>
      <w:r w:rsidR="004D6472" w:rsidRPr="008A7038">
        <w:rPr>
          <w:rFonts w:ascii="Times New Roman" w:hAnsi="Times New Roman" w:cs="Times New Roman"/>
          <w:sz w:val="24"/>
          <w:szCs w:val="24"/>
        </w:rPr>
        <w:br/>
      </w:r>
      <w:r w:rsidR="004D6472" w:rsidRPr="008A7038">
        <w:rPr>
          <w:rFonts w:ascii="Times New Roman" w:hAnsi="Times New Roman" w:cs="Times New Roman"/>
          <w:sz w:val="24"/>
          <w:szCs w:val="24"/>
        </w:rPr>
        <w:br/>
      </w:r>
    </w:p>
    <w:p w14:paraId="5EDD93E0" w14:textId="77777777" w:rsidR="00477476" w:rsidRDefault="00477476">
      <w:pPr>
        <w:spacing w:before="100" w:beforeAutospacing="1" w:after="100" w:afterAutospacing="1"/>
        <w:rPr>
          <w:rFonts w:ascii="Times New Roman" w:hAnsi="Times New Roman" w:cs="Times New Roman"/>
          <w:b/>
          <w:bCs/>
          <w:sz w:val="24"/>
          <w:szCs w:val="24"/>
          <w:u w:val="single"/>
          <w:lang w:eastAsia="en-IN"/>
        </w:rPr>
      </w:pPr>
    </w:p>
    <w:p w14:paraId="16C1F701" w14:textId="2E6474B2" w:rsidR="004D6472" w:rsidRPr="008A7038" w:rsidRDefault="004D6472">
      <w:pPr>
        <w:spacing w:before="100" w:beforeAutospacing="1" w:after="100" w:afterAutospacing="1"/>
        <w:rPr>
          <w:rFonts w:ascii="Times New Roman" w:hAnsi="Times New Roman" w:cs="Times New Roman"/>
          <w:sz w:val="24"/>
          <w:szCs w:val="24"/>
          <w:lang w:eastAsia="en-IN"/>
        </w:rPr>
      </w:pPr>
      <w:r w:rsidRPr="008A7038">
        <w:rPr>
          <w:rFonts w:ascii="Times New Roman" w:hAnsi="Times New Roman" w:cs="Times New Roman"/>
          <w:b/>
          <w:bCs/>
          <w:sz w:val="24"/>
          <w:szCs w:val="24"/>
          <w:u w:val="single"/>
          <w:lang w:eastAsia="en-IN"/>
        </w:rPr>
        <w:t>About Inox Clean Energy Limited</w:t>
      </w:r>
      <w:r w:rsidRPr="008A7038">
        <w:rPr>
          <w:rFonts w:ascii="Times New Roman" w:hAnsi="Times New Roman" w:cs="Times New Roman"/>
          <w:sz w:val="24"/>
          <w:szCs w:val="24"/>
          <w:lang w:eastAsia="en-IN"/>
        </w:rPr>
        <w:br/>
        <w:t>Inox Clean, the integrated renewable energy platform of the INOXGFL Group, operates across the renewable IPP (Independent Power Producer) business under its subsidiary Inox Neo and the solar manufacturing business under its subsidiary Inox Solar Limited. Rapidly expanding across the verticals through greenfield and inorganic routes, Inox Clean targets 10 GW of installed RE IPP capacity and 11 GW of integrated solar manufacturing capacity by FY28, with assets spread across India and multiple key global geographies including the US and Africa. Combining the core strength of its robust integrated business model along with the synergies and expertise within the INOXGFL Group, Inox Clean is setting new growth benchmarks in the renewable energy space as it scales up its capacities and offerings.</w:t>
      </w:r>
    </w:p>
    <w:p w14:paraId="2A2D9E82" w14:textId="77777777" w:rsidR="004D6472" w:rsidRPr="008A7038" w:rsidRDefault="004D6472">
      <w:pPr>
        <w:spacing w:before="100" w:beforeAutospacing="1" w:after="100" w:afterAutospacing="1"/>
        <w:rPr>
          <w:rFonts w:ascii="Times New Roman" w:hAnsi="Times New Roman" w:cs="Times New Roman"/>
          <w:sz w:val="24"/>
          <w:szCs w:val="24"/>
          <w:lang w:eastAsia="en-IN"/>
        </w:rPr>
      </w:pPr>
      <w:r w:rsidRPr="008A7038">
        <w:rPr>
          <w:rFonts w:ascii="Times New Roman" w:hAnsi="Times New Roman" w:cs="Times New Roman"/>
          <w:b/>
          <w:bCs/>
          <w:sz w:val="24"/>
          <w:szCs w:val="24"/>
          <w:u w:val="single"/>
          <w:lang w:eastAsia="en-IN"/>
        </w:rPr>
        <w:t>About INOXGFL Group</w:t>
      </w:r>
      <w:r w:rsidRPr="008A7038">
        <w:rPr>
          <w:rFonts w:ascii="Times New Roman" w:hAnsi="Times New Roman" w:cs="Times New Roman"/>
          <w:sz w:val="24"/>
          <w:szCs w:val="24"/>
          <w:lang w:eastAsia="en-IN"/>
        </w:rPr>
        <w:br/>
        <w:t xml:space="preserve">INOXGFL Group, a multi-billion-dollar Indian conglomerate, is a leader in the global energy transition space. With a legacy of over 90 years, the Group’s interests span across chemicals and renewables, with presence in over 75 countries across 5 continents. INOXGFL Group companies are forerunners across diversified business segments, with three listed entities — Gujarat Fluorochemicals Limited (GFL), a global leader in the specialty fluorine chemicals space; Inox Wind Limited (IWL), India’s leading comprehensive wind solutions provider, and Inox Green Energy Services Limited (IGESL), India’s largest listed renewables O&amp;M services provider. On the unlisted front, GFL’s subsidiary — GFCL EV Products Limited (GFCL EV) — is scaling up to become the largest </w:t>
      </w:r>
      <w:proofErr w:type="spellStart"/>
      <w:r w:rsidRPr="008A7038">
        <w:rPr>
          <w:rFonts w:ascii="Times New Roman" w:hAnsi="Times New Roman" w:cs="Times New Roman"/>
          <w:sz w:val="24"/>
          <w:szCs w:val="24"/>
          <w:lang w:eastAsia="en-IN"/>
        </w:rPr>
        <w:t>non-Chinese</w:t>
      </w:r>
      <w:proofErr w:type="spellEnd"/>
      <w:r w:rsidRPr="008A7038">
        <w:rPr>
          <w:rFonts w:ascii="Times New Roman" w:hAnsi="Times New Roman" w:cs="Times New Roman"/>
          <w:sz w:val="24"/>
          <w:szCs w:val="24"/>
          <w:lang w:eastAsia="en-IN"/>
        </w:rPr>
        <w:t xml:space="preserve"> integrated advanced battery materials supplier globally, supported by investments from IFC, Washington and OIA, Oman. Further, through Inox Clean Energy Limited (ICEL), the Group is rapidly expanding globally across renewable energy IPP and solar manufacturing verticals. The Group's performance and leadership are reflected in its diverse portfolio of products &amp; services, where several of its companies are setting new growth benchmarks, as well as impactful corporate social responsibility initiatives. With an aim to drive progress and contribute to a greener future, the INOXGFL Group continues to contribute to India’s growth story.</w:t>
      </w:r>
    </w:p>
    <w:p w14:paraId="03D9E87A" w14:textId="33269D18" w:rsidR="00266F81" w:rsidRPr="008A7038" w:rsidRDefault="00266F81" w:rsidP="008A7038">
      <w:pPr>
        <w:spacing w:before="100" w:beforeAutospacing="1" w:after="100" w:afterAutospacing="1"/>
        <w:rPr>
          <w:rFonts w:ascii="Times New Roman" w:hAnsi="Times New Roman" w:cs="Times New Roman"/>
          <w:sz w:val="24"/>
          <w:szCs w:val="24"/>
        </w:rPr>
      </w:pPr>
    </w:p>
    <w:p w14:paraId="11C12A05" w14:textId="77777777" w:rsidR="00266F81" w:rsidRPr="008A7038" w:rsidRDefault="00266F81" w:rsidP="004D6472">
      <w:pPr>
        <w:spacing w:after="240" w:line="276" w:lineRule="auto"/>
        <w:rPr>
          <w:rFonts w:ascii="Times New Roman" w:hAnsi="Times New Roman" w:cs="Times New Roman"/>
          <w:b/>
          <w:sz w:val="24"/>
          <w:szCs w:val="24"/>
        </w:rPr>
      </w:pPr>
      <w:r w:rsidRPr="008A7038">
        <w:rPr>
          <w:rFonts w:ascii="Times New Roman" w:hAnsi="Times New Roman" w:cs="Times New Roman"/>
          <w:b/>
          <w:sz w:val="24"/>
          <w:szCs w:val="24"/>
        </w:rPr>
        <w:t>For further details, contact</w:t>
      </w:r>
    </w:p>
    <w:tbl>
      <w:tblPr>
        <w:tblStyle w:val="TableGrid"/>
        <w:tblW w:w="0" w:type="auto"/>
        <w:tblLook w:val="04A0" w:firstRow="1" w:lastRow="0" w:firstColumn="1" w:lastColumn="0" w:noHBand="0" w:noVBand="1"/>
      </w:tblPr>
      <w:tblGrid>
        <w:gridCol w:w="4508"/>
        <w:gridCol w:w="4508"/>
      </w:tblGrid>
      <w:tr w:rsidR="00266F81" w:rsidRPr="004D6472" w14:paraId="2EB16ADF" w14:textId="77777777" w:rsidTr="004D6472">
        <w:trPr>
          <w:trHeight w:val="1225"/>
        </w:trPr>
        <w:tc>
          <w:tcPr>
            <w:tcW w:w="4508" w:type="dxa"/>
          </w:tcPr>
          <w:p w14:paraId="63E1DC35" w14:textId="185835BA" w:rsidR="00DD1F73" w:rsidRPr="008A7038" w:rsidRDefault="00DD1F73" w:rsidP="004D6472">
            <w:pPr>
              <w:tabs>
                <w:tab w:val="center" w:pos="2146"/>
              </w:tabs>
              <w:spacing w:after="60" w:line="276" w:lineRule="auto"/>
              <w:rPr>
                <w:b/>
                <w:bCs/>
                <w:sz w:val="24"/>
                <w:szCs w:val="24"/>
              </w:rPr>
            </w:pPr>
            <w:r w:rsidRPr="008A7038">
              <w:rPr>
                <w:rFonts w:asciiTheme="minorHAnsi" w:hAnsiTheme="minorHAnsi" w:cstheme="minorBidi"/>
                <w:b/>
                <w:bCs/>
                <w:sz w:val="24"/>
                <w:szCs w:val="24"/>
              </w:rPr>
              <w:t xml:space="preserve">Mohit Sharma </w:t>
            </w:r>
          </w:p>
          <w:p w14:paraId="2CBBA1EA" w14:textId="77777777" w:rsidR="00DD1F73" w:rsidRPr="008A7038" w:rsidRDefault="00DD1F73" w:rsidP="00EB31B3">
            <w:pPr>
              <w:tabs>
                <w:tab w:val="center" w:pos="2146"/>
              </w:tabs>
              <w:spacing w:after="60" w:line="276" w:lineRule="auto"/>
              <w:rPr>
                <w:sz w:val="24"/>
                <w:szCs w:val="24"/>
              </w:rPr>
            </w:pPr>
            <w:r w:rsidRPr="008A7038">
              <w:rPr>
                <w:rFonts w:asciiTheme="minorHAnsi" w:hAnsiTheme="minorHAnsi" w:cstheme="minorBidi"/>
                <w:sz w:val="24"/>
                <w:szCs w:val="24"/>
              </w:rPr>
              <w:t xml:space="preserve">Head of Corporate Communications </w:t>
            </w:r>
          </w:p>
          <w:p w14:paraId="4C04DD0D" w14:textId="77777777" w:rsidR="00DD1F73" w:rsidRPr="008A7038" w:rsidRDefault="00DD1F73">
            <w:pPr>
              <w:tabs>
                <w:tab w:val="center" w:pos="2146"/>
              </w:tabs>
              <w:spacing w:after="60" w:line="276" w:lineRule="auto"/>
              <w:rPr>
                <w:sz w:val="24"/>
                <w:szCs w:val="24"/>
              </w:rPr>
            </w:pPr>
            <w:r w:rsidRPr="008A7038">
              <w:rPr>
                <w:rFonts w:asciiTheme="minorHAnsi" w:hAnsiTheme="minorHAnsi" w:cstheme="minorBidi"/>
                <w:sz w:val="24"/>
                <w:szCs w:val="24"/>
              </w:rPr>
              <w:t>INOXGFL Group</w:t>
            </w:r>
          </w:p>
          <w:p w14:paraId="4AE43890" w14:textId="0CD1FD73" w:rsidR="00DD1F73" w:rsidRPr="008A7038" w:rsidRDefault="00DD1F73">
            <w:pPr>
              <w:tabs>
                <w:tab w:val="center" w:pos="2146"/>
              </w:tabs>
              <w:spacing w:after="60" w:line="276" w:lineRule="auto"/>
              <w:rPr>
                <w:sz w:val="24"/>
                <w:szCs w:val="24"/>
              </w:rPr>
            </w:pPr>
            <w:r w:rsidRPr="008A7038">
              <w:rPr>
                <w:rFonts w:asciiTheme="minorHAnsi" w:hAnsiTheme="minorHAnsi" w:cstheme="minorBidi"/>
                <w:sz w:val="24"/>
                <w:szCs w:val="24"/>
              </w:rPr>
              <w:t>+91 9971198905</w:t>
            </w:r>
          </w:p>
          <w:p w14:paraId="3A75B478" w14:textId="0EBF8D3E" w:rsidR="00445E21" w:rsidRPr="008A7038" w:rsidRDefault="005E170C">
            <w:pPr>
              <w:tabs>
                <w:tab w:val="center" w:pos="2146"/>
              </w:tabs>
              <w:spacing w:after="60" w:line="276" w:lineRule="auto"/>
              <w:rPr>
                <w:b/>
                <w:bCs/>
                <w:sz w:val="24"/>
                <w:szCs w:val="24"/>
              </w:rPr>
            </w:pPr>
            <w:hyperlink r:id="rId7" w:history="1">
              <w:r w:rsidR="00DD1F73" w:rsidRPr="008A7038">
                <w:rPr>
                  <w:rFonts w:asciiTheme="minorHAnsi" w:hAnsiTheme="minorHAnsi" w:cstheme="minorBidi"/>
                  <w:sz w:val="24"/>
                  <w:szCs w:val="24"/>
                </w:rPr>
                <w:t>Mohit.sharma2@inoxgfl.com</w:t>
              </w:r>
            </w:hyperlink>
          </w:p>
        </w:tc>
        <w:tc>
          <w:tcPr>
            <w:tcW w:w="4508" w:type="dxa"/>
          </w:tcPr>
          <w:p w14:paraId="50993157" w14:textId="77777777" w:rsidR="00266F81" w:rsidRPr="008A7038" w:rsidRDefault="00266F81">
            <w:pPr>
              <w:tabs>
                <w:tab w:val="center" w:pos="2146"/>
              </w:tabs>
              <w:spacing w:after="60" w:line="276" w:lineRule="auto"/>
              <w:rPr>
                <w:sz w:val="24"/>
                <w:szCs w:val="24"/>
              </w:rPr>
            </w:pPr>
            <w:r w:rsidRPr="008A7038">
              <w:rPr>
                <w:rFonts w:asciiTheme="minorHAnsi" w:hAnsiTheme="minorHAnsi" w:cstheme="minorBidi"/>
                <w:b/>
                <w:sz w:val="24"/>
                <w:szCs w:val="24"/>
              </w:rPr>
              <w:t>Rohini Kute</w:t>
            </w:r>
          </w:p>
          <w:p w14:paraId="2006B6F7" w14:textId="77777777" w:rsidR="00266F81" w:rsidRPr="008A7038" w:rsidRDefault="00266F81">
            <w:pPr>
              <w:tabs>
                <w:tab w:val="center" w:pos="2146"/>
              </w:tabs>
              <w:spacing w:after="60" w:line="276" w:lineRule="auto"/>
              <w:rPr>
                <w:sz w:val="24"/>
                <w:szCs w:val="24"/>
              </w:rPr>
            </w:pPr>
            <w:r w:rsidRPr="008A7038">
              <w:rPr>
                <w:rFonts w:asciiTheme="minorHAnsi" w:hAnsiTheme="minorHAnsi" w:cstheme="minorBidi"/>
                <w:sz w:val="24"/>
                <w:szCs w:val="24"/>
              </w:rPr>
              <w:t>Head of Group Corporate Communication,</w:t>
            </w:r>
          </w:p>
          <w:p w14:paraId="3CA5EBD6" w14:textId="77777777" w:rsidR="00266F81" w:rsidRPr="008A7038" w:rsidRDefault="00266F81">
            <w:pPr>
              <w:tabs>
                <w:tab w:val="center" w:pos="2146"/>
              </w:tabs>
              <w:spacing w:after="60" w:line="276" w:lineRule="auto"/>
              <w:rPr>
                <w:sz w:val="24"/>
                <w:szCs w:val="24"/>
              </w:rPr>
            </w:pPr>
            <w:r w:rsidRPr="008A7038">
              <w:rPr>
                <w:rFonts w:asciiTheme="minorHAnsi" w:hAnsiTheme="minorHAnsi" w:cstheme="minorBidi"/>
                <w:sz w:val="24"/>
                <w:szCs w:val="24"/>
              </w:rPr>
              <w:t>Motilal Oswal Financial Services Limited</w:t>
            </w:r>
          </w:p>
          <w:p w14:paraId="44553CDF" w14:textId="77777777" w:rsidR="00266F81" w:rsidRPr="008A7038" w:rsidRDefault="00266F81">
            <w:pPr>
              <w:tabs>
                <w:tab w:val="center" w:pos="2146"/>
              </w:tabs>
              <w:spacing w:after="60" w:line="276" w:lineRule="auto"/>
              <w:rPr>
                <w:sz w:val="24"/>
                <w:szCs w:val="24"/>
              </w:rPr>
            </w:pPr>
            <w:r w:rsidRPr="008A7038">
              <w:rPr>
                <w:rFonts w:asciiTheme="minorHAnsi" w:hAnsiTheme="minorHAnsi" w:cstheme="minorBidi"/>
                <w:sz w:val="24"/>
                <w:szCs w:val="24"/>
              </w:rPr>
              <w:t>+91 98201 96838</w:t>
            </w:r>
          </w:p>
          <w:p w14:paraId="150CFF78" w14:textId="77777777" w:rsidR="00266F81" w:rsidRPr="008A7038" w:rsidRDefault="005E170C">
            <w:pPr>
              <w:tabs>
                <w:tab w:val="center" w:pos="2146"/>
              </w:tabs>
              <w:spacing w:after="60" w:line="276" w:lineRule="auto"/>
              <w:rPr>
                <w:sz w:val="24"/>
                <w:szCs w:val="24"/>
              </w:rPr>
            </w:pPr>
            <w:hyperlink r:id="rId8" w:history="1">
              <w:r w:rsidR="00266F81" w:rsidRPr="008A7038">
                <w:rPr>
                  <w:rStyle w:val="Hyperlink"/>
                  <w:rFonts w:asciiTheme="minorHAnsi" w:hAnsiTheme="minorHAnsi" w:cstheme="minorBidi"/>
                  <w:sz w:val="24"/>
                  <w:szCs w:val="24"/>
                </w:rPr>
                <w:t>rohini.kute@motilaloswal.com</w:t>
              </w:r>
            </w:hyperlink>
            <w:r w:rsidR="00266F81" w:rsidRPr="008A7038">
              <w:rPr>
                <w:rFonts w:asciiTheme="minorHAnsi" w:hAnsiTheme="minorHAnsi" w:cstheme="minorBidi"/>
                <w:sz w:val="24"/>
                <w:szCs w:val="24"/>
              </w:rPr>
              <w:t xml:space="preserve"> </w:t>
            </w:r>
          </w:p>
        </w:tc>
      </w:tr>
      <w:bookmarkEnd w:id="0"/>
    </w:tbl>
    <w:p w14:paraId="7359D786" w14:textId="77777777" w:rsidR="00266F81" w:rsidRPr="008A7038" w:rsidRDefault="00266F81" w:rsidP="004D6472">
      <w:pPr>
        <w:rPr>
          <w:rFonts w:ascii="Times New Roman" w:hAnsi="Times New Roman" w:cs="Times New Roman"/>
          <w:sz w:val="24"/>
          <w:szCs w:val="24"/>
          <w:lang w:val="en-US"/>
        </w:rPr>
      </w:pPr>
    </w:p>
    <w:sectPr w:rsidR="00266F81" w:rsidRPr="008A7038" w:rsidSect="008A7038">
      <w:headerReference w:type="default" r:id="rId9"/>
      <w:footerReference w:type="default" r:id="rId10"/>
      <w:pgSz w:w="11906" w:h="16838"/>
      <w:pgMar w:top="1531" w:right="1440" w:bottom="1440" w:left="1440" w:header="170"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51903" w14:textId="77777777" w:rsidR="000F57AB" w:rsidRDefault="000F57AB" w:rsidP="005C21D8">
      <w:pPr>
        <w:spacing w:after="0" w:line="240" w:lineRule="auto"/>
      </w:pPr>
      <w:r>
        <w:separator/>
      </w:r>
    </w:p>
  </w:endnote>
  <w:endnote w:type="continuationSeparator" w:id="0">
    <w:p w14:paraId="41E06A72" w14:textId="77777777" w:rsidR="000F57AB" w:rsidRDefault="000F57AB" w:rsidP="005C21D8">
      <w:pPr>
        <w:spacing w:after="0" w:line="240" w:lineRule="auto"/>
      </w:pPr>
      <w:r>
        <w:continuationSeparator/>
      </w:r>
    </w:p>
  </w:endnote>
  <w:endnote w:type="continuationNotice" w:id="1">
    <w:p w14:paraId="65192E72" w14:textId="77777777" w:rsidR="000F57AB" w:rsidRDefault="000F57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FD452" w14:textId="2A6ECCB3" w:rsidR="00E301CC" w:rsidRDefault="005E170C">
    <w:pPr>
      <w:pStyle w:val="Footer"/>
      <w:jc w:val="right"/>
    </w:pPr>
    <w:sdt>
      <w:sdtPr>
        <w:id w:val="-577748173"/>
        <w:docPartObj>
          <w:docPartGallery w:val="Page Numbers (Bottom of Page)"/>
          <w:docPartUnique/>
        </w:docPartObj>
      </w:sdtPr>
      <w:sdtEndPr/>
      <w:sdtContent>
        <w:r w:rsidR="00E301CC">
          <w:t xml:space="preserve">Page | </w:t>
        </w:r>
        <w:r w:rsidR="00E301CC">
          <w:fldChar w:fldCharType="begin"/>
        </w:r>
        <w:r w:rsidR="00E301CC">
          <w:instrText xml:space="preserve"> PAGE   \* MERGEFORMAT </w:instrText>
        </w:r>
        <w:r w:rsidR="00E301CC">
          <w:fldChar w:fldCharType="separate"/>
        </w:r>
        <w:r w:rsidR="00E301CC">
          <w:rPr>
            <w:noProof/>
          </w:rPr>
          <w:t>2</w:t>
        </w:r>
        <w:r w:rsidR="00E301CC">
          <w:rPr>
            <w:noProof/>
          </w:rPr>
          <w:fldChar w:fldCharType="end"/>
        </w:r>
        <w:r w:rsidR="00E301CC">
          <w:t xml:space="preserve"> </w:t>
        </w:r>
      </w:sdtContent>
    </w:sdt>
  </w:p>
  <w:p w14:paraId="2339F8CC" w14:textId="77777777" w:rsidR="00854F77" w:rsidRDefault="00854F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28B27" w14:textId="77777777" w:rsidR="000F57AB" w:rsidRDefault="000F57AB" w:rsidP="005C21D8">
      <w:pPr>
        <w:spacing w:after="0" w:line="240" w:lineRule="auto"/>
      </w:pPr>
      <w:r>
        <w:separator/>
      </w:r>
    </w:p>
  </w:footnote>
  <w:footnote w:type="continuationSeparator" w:id="0">
    <w:p w14:paraId="1D807203" w14:textId="77777777" w:rsidR="000F57AB" w:rsidRDefault="000F57AB" w:rsidP="005C21D8">
      <w:pPr>
        <w:spacing w:after="0" w:line="240" w:lineRule="auto"/>
      </w:pPr>
      <w:r>
        <w:continuationSeparator/>
      </w:r>
    </w:p>
  </w:footnote>
  <w:footnote w:type="continuationNotice" w:id="1">
    <w:p w14:paraId="723FB1ED" w14:textId="77777777" w:rsidR="000F57AB" w:rsidRDefault="000F57A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293C6" w14:textId="5C5F232C" w:rsidR="001B5672" w:rsidRDefault="00477476" w:rsidP="004D6472">
    <w:pPr>
      <w:pStyle w:val="Header"/>
      <w:tabs>
        <w:tab w:val="clear" w:pos="4513"/>
        <w:tab w:val="clear" w:pos="9026"/>
        <w:tab w:val="left" w:pos="5080"/>
      </w:tabs>
    </w:pPr>
    <w:r>
      <w:rPr>
        <w:noProof/>
        <w:lang w:eastAsia="en-IN"/>
      </w:rPr>
      <w:drawing>
        <wp:anchor distT="0" distB="0" distL="114300" distR="114300" simplePos="0" relativeHeight="251658240" behindDoc="0" locked="0" layoutInCell="1" allowOverlap="1" wp14:anchorId="142613B4" wp14:editId="6A39F29A">
          <wp:simplePos x="0" y="0"/>
          <wp:positionH relativeFrom="column">
            <wp:posOffset>50482</wp:posOffset>
          </wp:positionH>
          <wp:positionV relativeFrom="paragraph">
            <wp:posOffset>234950</wp:posOffset>
          </wp:positionV>
          <wp:extent cx="1327150" cy="609600"/>
          <wp:effectExtent l="0" t="0" r="635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32715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8A7038">
      <w:rPr>
        <w:noProof/>
      </w:rPr>
      <w:drawing>
        <wp:anchor distT="0" distB="0" distL="114300" distR="114300" simplePos="0" relativeHeight="251657216" behindDoc="0" locked="0" layoutInCell="1" allowOverlap="1" wp14:anchorId="5932CF27" wp14:editId="2CBFFF5C">
          <wp:simplePos x="0" y="0"/>
          <wp:positionH relativeFrom="column">
            <wp:posOffset>4419600</wp:posOffset>
          </wp:positionH>
          <wp:positionV relativeFrom="paragraph">
            <wp:posOffset>190500</wp:posOffset>
          </wp:positionV>
          <wp:extent cx="1196340" cy="679450"/>
          <wp:effectExtent l="0" t="0" r="381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a:extLst>
                      <a:ext uri="{28A0092B-C50C-407E-A947-70E740481C1C}">
                        <a14:useLocalDpi xmlns:a14="http://schemas.microsoft.com/office/drawing/2010/main" val="0"/>
                      </a:ext>
                    </a:extLst>
                  </a:blip>
                  <a:stretch>
                    <a:fillRect/>
                  </a:stretch>
                </pic:blipFill>
                <pic:spPr>
                  <a:xfrm>
                    <a:off x="0" y="0"/>
                    <a:ext cx="1196340" cy="679450"/>
                  </a:xfrm>
                  <a:prstGeom prst="rect">
                    <a:avLst/>
                  </a:prstGeom>
                </pic:spPr>
              </pic:pic>
            </a:graphicData>
          </a:graphic>
          <wp14:sizeRelH relativeFrom="page">
            <wp14:pctWidth>0</wp14:pctWidth>
          </wp14:sizeRelH>
          <wp14:sizeRelV relativeFrom="page">
            <wp14:pctHeight>0</wp14:pctHeight>
          </wp14:sizeRelV>
        </wp:anchor>
      </w:drawing>
    </w:r>
    <w:r w:rsidR="008A7038">
      <w:rPr>
        <w:noProof/>
      </w:rPr>
      <w:drawing>
        <wp:anchor distT="0" distB="0" distL="114300" distR="114300" simplePos="0" relativeHeight="251656192" behindDoc="0" locked="0" layoutInCell="1" allowOverlap="1" wp14:anchorId="05D367BB" wp14:editId="77122899">
          <wp:simplePos x="0" y="0"/>
          <wp:positionH relativeFrom="column">
            <wp:posOffset>2082165</wp:posOffset>
          </wp:positionH>
          <wp:positionV relativeFrom="paragraph">
            <wp:posOffset>266700</wp:posOffset>
          </wp:positionV>
          <wp:extent cx="1628140" cy="527050"/>
          <wp:effectExtent l="0" t="0" r="0"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628140" cy="527050"/>
                  </a:xfrm>
                  <a:prstGeom prst="rect">
                    <a:avLst/>
                  </a:prstGeom>
                  <a:noFill/>
                  <a:ln>
                    <a:noFill/>
                  </a:ln>
                </pic:spPr>
              </pic:pic>
            </a:graphicData>
          </a:graphic>
          <wp14:sizeRelH relativeFrom="page">
            <wp14:pctWidth>0</wp14:pctWidth>
          </wp14:sizeRelH>
          <wp14:sizeRelV relativeFrom="page">
            <wp14:pctHeight>0</wp14:pctHeight>
          </wp14:sizeRelV>
        </wp:anchor>
      </w:drawing>
    </w:r>
    <w:sdt>
      <w:sdtPr>
        <w:id w:val="1011261117"/>
        <w:docPartObj>
          <w:docPartGallery w:val="Watermarks"/>
          <w:docPartUnique/>
        </w:docPartObj>
      </w:sdtPr>
      <w:sdtEndPr/>
      <w:sdtContent>
        <w:r w:rsidR="005E170C">
          <w:rPr>
            <w:noProof/>
          </w:rPr>
          <w:pict w14:anchorId="283AF85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MSIPWM0PowerPlusWaterMarkObject" o:spid="_x0000_s2050" type="#_x0000_t136" alt="{&quot;HashCode&quot;:-664061739,&quot;Height&quot;:841.0,&quot;Width&quot;:595.0,&quot;Placement&quot;:&quot;Header&quot;,&quot;Index&quot;:&quot;Primary&quot;,&quot;Section&quot;:1,&quot;Top&quot;:-999995.0,&quot;Left&quot;:-999995.0}" style="position:absolute;margin-left:0;margin-top:0;width:431.15pt;height:47.1pt;rotation:315;z-index:-251657216;visibility:hidden;mso-position-horizontal:center;mso-position-horizontal-relative:margin;mso-position-vertical:center;mso-position-vertical-relative:margin" o:allowincell="f" fillcolor="black" stroked="f">
              <v:textpath style="font-family:&quot;Calibri&quot;;font-size:35pt" string="Gujarat Fluorochemicals Ltd."/>
              <w10:wrap anchorx="margin" anchory="margin"/>
            </v:shape>
          </w:pict>
        </w:r>
      </w:sdtContent>
    </w:sdt>
    <w:r w:rsidR="001B5672">
      <w:tab/>
    </w:r>
    <w:r w:rsidR="001B5672">
      <w:tab/>
    </w:r>
    <w:r w:rsidR="001B5672">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revisionView w:inkAnnotations="0"/>
  <w:defaultTabStop w:val="720"/>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E00"/>
    <w:rsid w:val="000563CA"/>
    <w:rsid w:val="000A6874"/>
    <w:rsid w:val="000B7141"/>
    <w:rsid w:val="000E2DCC"/>
    <w:rsid w:val="000F227F"/>
    <w:rsid w:val="000F4CAC"/>
    <w:rsid w:val="000F57AB"/>
    <w:rsid w:val="00157286"/>
    <w:rsid w:val="00164B36"/>
    <w:rsid w:val="0019705E"/>
    <w:rsid w:val="001B2944"/>
    <w:rsid w:val="001B5672"/>
    <w:rsid w:val="001B70C6"/>
    <w:rsid w:val="001C36AD"/>
    <w:rsid w:val="0023722C"/>
    <w:rsid w:val="00256F4B"/>
    <w:rsid w:val="00266F81"/>
    <w:rsid w:val="00274901"/>
    <w:rsid w:val="002900AA"/>
    <w:rsid w:val="00292811"/>
    <w:rsid w:val="002C138E"/>
    <w:rsid w:val="002C4024"/>
    <w:rsid w:val="002E20DD"/>
    <w:rsid w:val="002E3A65"/>
    <w:rsid w:val="00331191"/>
    <w:rsid w:val="00370A81"/>
    <w:rsid w:val="003862B7"/>
    <w:rsid w:val="003953CD"/>
    <w:rsid w:val="003A42C4"/>
    <w:rsid w:val="003C45CC"/>
    <w:rsid w:val="003D4FCB"/>
    <w:rsid w:val="003F512F"/>
    <w:rsid w:val="00445E21"/>
    <w:rsid w:val="00457990"/>
    <w:rsid w:val="00457E9B"/>
    <w:rsid w:val="00477476"/>
    <w:rsid w:val="00487281"/>
    <w:rsid w:val="0049506B"/>
    <w:rsid w:val="004A1BD9"/>
    <w:rsid w:val="004D3A47"/>
    <w:rsid w:val="004D6472"/>
    <w:rsid w:val="00532ED9"/>
    <w:rsid w:val="00533838"/>
    <w:rsid w:val="00547607"/>
    <w:rsid w:val="00557A59"/>
    <w:rsid w:val="005651B9"/>
    <w:rsid w:val="00592EC4"/>
    <w:rsid w:val="005C21D8"/>
    <w:rsid w:val="005E170C"/>
    <w:rsid w:val="00607F94"/>
    <w:rsid w:val="006432C4"/>
    <w:rsid w:val="00672D56"/>
    <w:rsid w:val="006918DD"/>
    <w:rsid w:val="006A4FDE"/>
    <w:rsid w:val="00741B03"/>
    <w:rsid w:val="00767884"/>
    <w:rsid w:val="00795B2D"/>
    <w:rsid w:val="007A53AD"/>
    <w:rsid w:val="007B248F"/>
    <w:rsid w:val="007B43E1"/>
    <w:rsid w:val="007B54CF"/>
    <w:rsid w:val="007F4B04"/>
    <w:rsid w:val="00811571"/>
    <w:rsid w:val="00854F77"/>
    <w:rsid w:val="008741C6"/>
    <w:rsid w:val="00887147"/>
    <w:rsid w:val="008A2CC2"/>
    <w:rsid w:val="008A7038"/>
    <w:rsid w:val="008B7FA8"/>
    <w:rsid w:val="00914F46"/>
    <w:rsid w:val="00925DB5"/>
    <w:rsid w:val="00937D91"/>
    <w:rsid w:val="00955659"/>
    <w:rsid w:val="009702E0"/>
    <w:rsid w:val="00985709"/>
    <w:rsid w:val="00997652"/>
    <w:rsid w:val="009C13B8"/>
    <w:rsid w:val="00A45895"/>
    <w:rsid w:val="00A47EAF"/>
    <w:rsid w:val="00A65C92"/>
    <w:rsid w:val="00A8772F"/>
    <w:rsid w:val="00AB03FB"/>
    <w:rsid w:val="00AF6E4A"/>
    <w:rsid w:val="00B32C7B"/>
    <w:rsid w:val="00B57BAD"/>
    <w:rsid w:val="00B638AA"/>
    <w:rsid w:val="00B733C4"/>
    <w:rsid w:val="00B94F0E"/>
    <w:rsid w:val="00BC0A88"/>
    <w:rsid w:val="00BE7AE3"/>
    <w:rsid w:val="00C277CC"/>
    <w:rsid w:val="00C521F6"/>
    <w:rsid w:val="00C5397E"/>
    <w:rsid w:val="00CB2357"/>
    <w:rsid w:val="00D02526"/>
    <w:rsid w:val="00D40362"/>
    <w:rsid w:val="00D52C01"/>
    <w:rsid w:val="00D86584"/>
    <w:rsid w:val="00D910F7"/>
    <w:rsid w:val="00D92284"/>
    <w:rsid w:val="00DD18AA"/>
    <w:rsid w:val="00DD1F73"/>
    <w:rsid w:val="00E07A3A"/>
    <w:rsid w:val="00E14E33"/>
    <w:rsid w:val="00E301CC"/>
    <w:rsid w:val="00E360B0"/>
    <w:rsid w:val="00E526A8"/>
    <w:rsid w:val="00E802BE"/>
    <w:rsid w:val="00EB300B"/>
    <w:rsid w:val="00EB31B3"/>
    <w:rsid w:val="00EE60B4"/>
    <w:rsid w:val="00F17E00"/>
    <w:rsid w:val="00F23C14"/>
    <w:rsid w:val="00FE79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49B3A0C"/>
  <w15:chartTrackingRefBased/>
  <w15:docId w15:val="{06CDA6F1-D2A1-491A-8AA4-2FB58CAB8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C0A88"/>
    <w:pPr>
      <w:spacing w:before="100" w:beforeAutospacing="1" w:after="100" w:afterAutospacing="1" w:line="240" w:lineRule="auto"/>
      <w:outlineLvl w:val="0"/>
    </w:pPr>
    <w:rPr>
      <w:rFonts w:ascii="Calibri" w:hAnsi="Calibri" w:cs="Calibri"/>
      <w:b/>
      <w:bCs/>
      <w:kern w:val="36"/>
      <w:sz w:val="48"/>
      <w:szCs w:val="48"/>
      <w:lang w:eastAsia="en-IN"/>
    </w:rPr>
  </w:style>
  <w:style w:type="paragraph" w:styleId="Heading2">
    <w:name w:val="heading 2"/>
    <w:basedOn w:val="Normal"/>
    <w:next w:val="Normal"/>
    <w:link w:val="Heading2Char"/>
    <w:uiPriority w:val="9"/>
    <w:semiHidden/>
    <w:unhideWhenUsed/>
    <w:qFormat/>
    <w:rsid w:val="00914F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A88"/>
    <w:rPr>
      <w:rFonts w:ascii="Calibri" w:hAnsi="Calibri" w:cs="Calibri"/>
      <w:b/>
      <w:bCs/>
      <w:kern w:val="36"/>
      <w:sz w:val="48"/>
      <w:szCs w:val="48"/>
      <w:lang w:eastAsia="en-IN"/>
    </w:rPr>
  </w:style>
  <w:style w:type="paragraph" w:styleId="NormalWeb">
    <w:name w:val="Normal (Web)"/>
    <w:basedOn w:val="Normal"/>
    <w:uiPriority w:val="99"/>
    <w:semiHidden/>
    <w:unhideWhenUsed/>
    <w:rsid w:val="00BC0A88"/>
    <w:pPr>
      <w:spacing w:before="100" w:beforeAutospacing="1" w:after="100" w:afterAutospacing="1" w:line="240" w:lineRule="auto"/>
    </w:pPr>
    <w:rPr>
      <w:rFonts w:ascii="Calibri" w:hAnsi="Calibri" w:cs="Calibri"/>
      <w:lang w:eastAsia="en-IN"/>
    </w:rPr>
  </w:style>
  <w:style w:type="paragraph" w:customStyle="1" w:styleId="isselectedend">
    <w:name w:val="isselectedend"/>
    <w:basedOn w:val="Normal"/>
    <w:uiPriority w:val="99"/>
    <w:rsid w:val="00BC0A88"/>
    <w:pPr>
      <w:spacing w:before="100" w:beforeAutospacing="1" w:after="100" w:afterAutospacing="1" w:line="240" w:lineRule="auto"/>
    </w:pPr>
    <w:rPr>
      <w:rFonts w:ascii="Calibri" w:hAnsi="Calibri" w:cs="Calibri"/>
      <w:lang w:eastAsia="en-IN"/>
    </w:rPr>
  </w:style>
  <w:style w:type="character" w:customStyle="1" w:styleId="text-token-text-primary">
    <w:name w:val="text-token-text-primary"/>
    <w:basedOn w:val="DefaultParagraphFont"/>
    <w:rsid w:val="00BC0A88"/>
  </w:style>
  <w:style w:type="character" w:styleId="Strong">
    <w:name w:val="Strong"/>
    <w:basedOn w:val="DefaultParagraphFont"/>
    <w:uiPriority w:val="22"/>
    <w:qFormat/>
    <w:rsid w:val="00BC0A88"/>
    <w:rPr>
      <w:b/>
      <w:bCs/>
    </w:rPr>
  </w:style>
  <w:style w:type="character" w:styleId="Emphasis">
    <w:name w:val="Emphasis"/>
    <w:basedOn w:val="DefaultParagraphFont"/>
    <w:uiPriority w:val="20"/>
    <w:qFormat/>
    <w:rsid w:val="00BC0A88"/>
    <w:rPr>
      <w:i/>
      <w:iCs/>
    </w:rPr>
  </w:style>
  <w:style w:type="paragraph" w:styleId="Header">
    <w:name w:val="header"/>
    <w:basedOn w:val="Normal"/>
    <w:link w:val="HeaderChar"/>
    <w:uiPriority w:val="99"/>
    <w:unhideWhenUsed/>
    <w:rsid w:val="005C21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21D8"/>
  </w:style>
  <w:style w:type="paragraph" w:styleId="Footer">
    <w:name w:val="footer"/>
    <w:basedOn w:val="Normal"/>
    <w:link w:val="FooterChar"/>
    <w:uiPriority w:val="99"/>
    <w:unhideWhenUsed/>
    <w:rsid w:val="005C21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21D8"/>
  </w:style>
  <w:style w:type="paragraph" w:customStyle="1" w:styleId="pdq2pgselectionanchorcontainer">
    <w:name w:val="pdq2pg_selectionanchorcontainer"/>
    <w:basedOn w:val="Normal"/>
    <w:rsid w:val="00741B0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2Char">
    <w:name w:val="Heading 2 Char"/>
    <w:basedOn w:val="DefaultParagraphFont"/>
    <w:link w:val="Heading2"/>
    <w:uiPriority w:val="9"/>
    <w:semiHidden/>
    <w:rsid w:val="00914F46"/>
    <w:rPr>
      <w:rFonts w:asciiTheme="majorHAnsi" w:eastAsiaTheme="majorEastAsia" w:hAnsiTheme="majorHAnsi" w:cstheme="majorBidi"/>
      <w:color w:val="2F5496" w:themeColor="accent1" w:themeShade="BF"/>
      <w:sz w:val="26"/>
      <w:szCs w:val="26"/>
    </w:rPr>
  </w:style>
  <w:style w:type="character" w:styleId="Hyperlink">
    <w:name w:val="Hyperlink"/>
    <w:uiPriority w:val="99"/>
    <w:unhideWhenUsed/>
    <w:rsid w:val="00266F81"/>
    <w:rPr>
      <w:color w:val="0563C1"/>
      <w:u w:val="single"/>
    </w:rPr>
  </w:style>
  <w:style w:type="table" w:styleId="TableGrid">
    <w:name w:val="Table Grid"/>
    <w:basedOn w:val="TableNormal"/>
    <w:uiPriority w:val="39"/>
    <w:rsid w:val="00266F81"/>
    <w:pPr>
      <w:spacing w:after="0" w:line="240" w:lineRule="auto"/>
    </w:pPr>
    <w:rPr>
      <w:rFonts w:ascii="Times New Roman" w:eastAsia="Times New Roman" w:hAnsi="Times New Roman" w:cs="Times New Roman"/>
      <w:sz w:val="20"/>
      <w:szCs w:val="20"/>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D1F73"/>
    <w:rPr>
      <w:color w:val="605E5C"/>
      <w:shd w:val="clear" w:color="auto" w:fill="E1DFDD"/>
    </w:rPr>
  </w:style>
  <w:style w:type="character" w:styleId="CommentReference">
    <w:name w:val="annotation reference"/>
    <w:basedOn w:val="DefaultParagraphFont"/>
    <w:uiPriority w:val="99"/>
    <w:semiHidden/>
    <w:unhideWhenUsed/>
    <w:rsid w:val="00854F77"/>
    <w:rPr>
      <w:sz w:val="16"/>
      <w:szCs w:val="16"/>
    </w:rPr>
  </w:style>
  <w:style w:type="paragraph" w:styleId="CommentText">
    <w:name w:val="annotation text"/>
    <w:basedOn w:val="Normal"/>
    <w:link w:val="CommentTextChar"/>
    <w:uiPriority w:val="99"/>
    <w:unhideWhenUsed/>
    <w:rsid w:val="00854F77"/>
    <w:pPr>
      <w:spacing w:line="240" w:lineRule="auto"/>
    </w:pPr>
    <w:rPr>
      <w:sz w:val="20"/>
      <w:szCs w:val="20"/>
    </w:rPr>
  </w:style>
  <w:style w:type="character" w:customStyle="1" w:styleId="CommentTextChar">
    <w:name w:val="Comment Text Char"/>
    <w:basedOn w:val="DefaultParagraphFont"/>
    <w:link w:val="CommentText"/>
    <w:uiPriority w:val="99"/>
    <w:rsid w:val="00854F77"/>
    <w:rPr>
      <w:sz w:val="20"/>
      <w:szCs w:val="20"/>
    </w:rPr>
  </w:style>
  <w:style w:type="paragraph" w:styleId="CommentSubject">
    <w:name w:val="annotation subject"/>
    <w:basedOn w:val="CommentText"/>
    <w:next w:val="CommentText"/>
    <w:link w:val="CommentSubjectChar"/>
    <w:uiPriority w:val="99"/>
    <w:semiHidden/>
    <w:unhideWhenUsed/>
    <w:rsid w:val="00854F77"/>
    <w:rPr>
      <w:b/>
      <w:bCs/>
    </w:rPr>
  </w:style>
  <w:style w:type="character" w:customStyle="1" w:styleId="CommentSubjectChar">
    <w:name w:val="Comment Subject Char"/>
    <w:basedOn w:val="CommentTextChar"/>
    <w:link w:val="CommentSubject"/>
    <w:uiPriority w:val="99"/>
    <w:semiHidden/>
    <w:rsid w:val="00854F77"/>
    <w:rPr>
      <w:b/>
      <w:bCs/>
      <w:sz w:val="20"/>
      <w:szCs w:val="20"/>
    </w:rPr>
  </w:style>
  <w:style w:type="paragraph" w:styleId="Revision">
    <w:name w:val="Revision"/>
    <w:hidden/>
    <w:uiPriority w:val="99"/>
    <w:semiHidden/>
    <w:rsid w:val="00854F7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2182">
      <w:bodyDiv w:val="1"/>
      <w:marLeft w:val="0"/>
      <w:marRight w:val="0"/>
      <w:marTop w:val="0"/>
      <w:marBottom w:val="0"/>
      <w:divBdr>
        <w:top w:val="none" w:sz="0" w:space="0" w:color="auto"/>
        <w:left w:val="none" w:sz="0" w:space="0" w:color="auto"/>
        <w:bottom w:val="none" w:sz="0" w:space="0" w:color="auto"/>
        <w:right w:val="none" w:sz="0" w:space="0" w:color="auto"/>
      </w:divBdr>
    </w:div>
    <w:div w:id="9794900">
      <w:bodyDiv w:val="1"/>
      <w:marLeft w:val="0"/>
      <w:marRight w:val="0"/>
      <w:marTop w:val="0"/>
      <w:marBottom w:val="0"/>
      <w:divBdr>
        <w:top w:val="none" w:sz="0" w:space="0" w:color="auto"/>
        <w:left w:val="none" w:sz="0" w:space="0" w:color="auto"/>
        <w:bottom w:val="none" w:sz="0" w:space="0" w:color="auto"/>
        <w:right w:val="none" w:sz="0" w:space="0" w:color="auto"/>
      </w:divBdr>
      <w:divsChild>
        <w:div w:id="662666529">
          <w:blockQuote w:val="1"/>
          <w:marLeft w:val="720"/>
          <w:marRight w:val="720"/>
          <w:marTop w:val="100"/>
          <w:marBottom w:val="100"/>
          <w:divBdr>
            <w:top w:val="none" w:sz="0" w:space="0" w:color="auto"/>
            <w:left w:val="none" w:sz="0" w:space="0" w:color="auto"/>
            <w:bottom w:val="none" w:sz="0" w:space="0" w:color="auto"/>
            <w:right w:val="none" w:sz="0" w:space="0" w:color="auto"/>
          </w:divBdr>
        </w:div>
        <w:div w:id="2919866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42672">
      <w:bodyDiv w:val="1"/>
      <w:marLeft w:val="0"/>
      <w:marRight w:val="0"/>
      <w:marTop w:val="0"/>
      <w:marBottom w:val="0"/>
      <w:divBdr>
        <w:top w:val="none" w:sz="0" w:space="0" w:color="auto"/>
        <w:left w:val="none" w:sz="0" w:space="0" w:color="auto"/>
        <w:bottom w:val="none" w:sz="0" w:space="0" w:color="auto"/>
        <w:right w:val="none" w:sz="0" w:space="0" w:color="auto"/>
      </w:divBdr>
    </w:div>
    <w:div w:id="365571618">
      <w:bodyDiv w:val="1"/>
      <w:marLeft w:val="0"/>
      <w:marRight w:val="0"/>
      <w:marTop w:val="0"/>
      <w:marBottom w:val="0"/>
      <w:divBdr>
        <w:top w:val="none" w:sz="0" w:space="0" w:color="auto"/>
        <w:left w:val="none" w:sz="0" w:space="0" w:color="auto"/>
        <w:bottom w:val="none" w:sz="0" w:space="0" w:color="auto"/>
        <w:right w:val="none" w:sz="0" w:space="0" w:color="auto"/>
      </w:divBdr>
    </w:div>
    <w:div w:id="425811375">
      <w:bodyDiv w:val="1"/>
      <w:marLeft w:val="0"/>
      <w:marRight w:val="0"/>
      <w:marTop w:val="0"/>
      <w:marBottom w:val="0"/>
      <w:divBdr>
        <w:top w:val="none" w:sz="0" w:space="0" w:color="auto"/>
        <w:left w:val="none" w:sz="0" w:space="0" w:color="auto"/>
        <w:bottom w:val="none" w:sz="0" w:space="0" w:color="auto"/>
        <w:right w:val="none" w:sz="0" w:space="0" w:color="auto"/>
      </w:divBdr>
    </w:div>
    <w:div w:id="535586952">
      <w:bodyDiv w:val="1"/>
      <w:marLeft w:val="0"/>
      <w:marRight w:val="0"/>
      <w:marTop w:val="0"/>
      <w:marBottom w:val="0"/>
      <w:divBdr>
        <w:top w:val="none" w:sz="0" w:space="0" w:color="auto"/>
        <w:left w:val="none" w:sz="0" w:space="0" w:color="auto"/>
        <w:bottom w:val="none" w:sz="0" w:space="0" w:color="auto"/>
        <w:right w:val="none" w:sz="0" w:space="0" w:color="auto"/>
      </w:divBdr>
    </w:div>
    <w:div w:id="626621003">
      <w:bodyDiv w:val="1"/>
      <w:marLeft w:val="0"/>
      <w:marRight w:val="0"/>
      <w:marTop w:val="0"/>
      <w:marBottom w:val="0"/>
      <w:divBdr>
        <w:top w:val="none" w:sz="0" w:space="0" w:color="auto"/>
        <w:left w:val="none" w:sz="0" w:space="0" w:color="auto"/>
        <w:bottom w:val="none" w:sz="0" w:space="0" w:color="auto"/>
        <w:right w:val="none" w:sz="0" w:space="0" w:color="auto"/>
      </w:divBdr>
      <w:divsChild>
        <w:div w:id="14700542">
          <w:blockQuote w:val="1"/>
          <w:marLeft w:val="720"/>
          <w:marRight w:val="720"/>
          <w:marTop w:val="100"/>
          <w:marBottom w:val="100"/>
          <w:divBdr>
            <w:top w:val="none" w:sz="0" w:space="0" w:color="auto"/>
            <w:left w:val="none" w:sz="0" w:space="0" w:color="auto"/>
            <w:bottom w:val="none" w:sz="0" w:space="0" w:color="auto"/>
            <w:right w:val="none" w:sz="0" w:space="0" w:color="auto"/>
          </w:divBdr>
        </w:div>
        <w:div w:id="18498294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444599">
      <w:bodyDiv w:val="1"/>
      <w:marLeft w:val="0"/>
      <w:marRight w:val="0"/>
      <w:marTop w:val="0"/>
      <w:marBottom w:val="0"/>
      <w:divBdr>
        <w:top w:val="none" w:sz="0" w:space="0" w:color="auto"/>
        <w:left w:val="none" w:sz="0" w:space="0" w:color="auto"/>
        <w:bottom w:val="none" w:sz="0" w:space="0" w:color="auto"/>
        <w:right w:val="none" w:sz="0" w:space="0" w:color="auto"/>
      </w:divBdr>
    </w:div>
    <w:div w:id="877662585">
      <w:bodyDiv w:val="1"/>
      <w:marLeft w:val="0"/>
      <w:marRight w:val="0"/>
      <w:marTop w:val="0"/>
      <w:marBottom w:val="0"/>
      <w:divBdr>
        <w:top w:val="none" w:sz="0" w:space="0" w:color="auto"/>
        <w:left w:val="none" w:sz="0" w:space="0" w:color="auto"/>
        <w:bottom w:val="none" w:sz="0" w:space="0" w:color="auto"/>
        <w:right w:val="none" w:sz="0" w:space="0" w:color="auto"/>
      </w:divBdr>
      <w:divsChild>
        <w:div w:id="91559975">
          <w:blockQuote w:val="1"/>
          <w:marLeft w:val="720"/>
          <w:marRight w:val="720"/>
          <w:marTop w:val="100"/>
          <w:marBottom w:val="100"/>
          <w:divBdr>
            <w:top w:val="none" w:sz="0" w:space="0" w:color="auto"/>
            <w:left w:val="none" w:sz="0" w:space="0" w:color="auto"/>
            <w:bottom w:val="none" w:sz="0" w:space="0" w:color="auto"/>
            <w:right w:val="none" w:sz="0" w:space="0" w:color="auto"/>
          </w:divBdr>
        </w:div>
        <w:div w:id="4769168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1069627">
      <w:bodyDiv w:val="1"/>
      <w:marLeft w:val="0"/>
      <w:marRight w:val="0"/>
      <w:marTop w:val="0"/>
      <w:marBottom w:val="0"/>
      <w:divBdr>
        <w:top w:val="none" w:sz="0" w:space="0" w:color="auto"/>
        <w:left w:val="none" w:sz="0" w:space="0" w:color="auto"/>
        <w:bottom w:val="none" w:sz="0" w:space="0" w:color="auto"/>
        <w:right w:val="none" w:sz="0" w:space="0" w:color="auto"/>
      </w:divBdr>
    </w:div>
    <w:div w:id="1310086994">
      <w:bodyDiv w:val="1"/>
      <w:marLeft w:val="0"/>
      <w:marRight w:val="0"/>
      <w:marTop w:val="0"/>
      <w:marBottom w:val="0"/>
      <w:divBdr>
        <w:top w:val="none" w:sz="0" w:space="0" w:color="auto"/>
        <w:left w:val="none" w:sz="0" w:space="0" w:color="auto"/>
        <w:bottom w:val="none" w:sz="0" w:space="0" w:color="auto"/>
        <w:right w:val="none" w:sz="0" w:space="0" w:color="auto"/>
      </w:divBdr>
    </w:div>
    <w:div w:id="1821262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hini.kute@motilaloswal.com" TargetMode="External"/><Relationship Id="rId3" Type="http://schemas.openxmlformats.org/officeDocument/2006/relationships/settings" Target="settings.xml"/><Relationship Id="rId7" Type="http://schemas.openxmlformats.org/officeDocument/2006/relationships/hyperlink" Target="mailto:Mohit.sharma2@inoxgf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image" Target="cid:image001.png@01DD0A1E.D7696C50" TargetMode="External"/><Relationship Id="rId1" Type="http://schemas.openxmlformats.org/officeDocument/2006/relationships/image" Target="media/image1.png"/><Relationship Id="rId5" Type="http://schemas.openxmlformats.org/officeDocument/2006/relationships/image" Target="cid:image002.png@01DD0A1E.D7696C50" TargetMode="External"/><Relationship Id="rId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Azure%20Information%20Protection\Watermark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B4610-E953-415D-AE7C-E46F0F47A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WatermarkTemplate</Template>
  <TotalTime>9</TotalTime>
  <Pages>3</Pages>
  <Words>1363</Words>
  <Characters>7772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Sharma</dc:creator>
  <cp:keywords/>
  <dc:description/>
  <cp:lastModifiedBy>Mohit  Sharma</cp:lastModifiedBy>
  <cp:revision>10</cp:revision>
  <dcterms:created xsi:type="dcterms:W3CDTF">2026-08-13T05:24:00Z</dcterms:created>
  <dcterms:modified xsi:type="dcterms:W3CDTF">2026-08-13T05:26:00Z</dcterms:modified>
</cp:coreProperties>
</file>