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A8ED48" w14:textId="007313A3" w:rsidR="00610430" w:rsidRPr="00610430" w:rsidRDefault="009F225E" w:rsidP="00610430">
      <w:pPr>
        <w:pStyle w:val="NormalWeb"/>
        <w:jc w:val="center"/>
        <w:rPr>
          <w:rStyle w:val="Strong"/>
          <w:sz w:val="36"/>
          <w:szCs w:val="36"/>
        </w:rPr>
      </w:pPr>
      <w:r w:rsidRPr="009F225E">
        <w:rPr>
          <w:rStyle w:val="Strong"/>
          <w:sz w:val="36"/>
          <w:szCs w:val="36"/>
        </w:rPr>
        <w:t>Inox Wind Signs MoU with Inox Clean for the Supply of 1,500 MW of Wind Turbines</w:t>
      </w:r>
    </w:p>
    <w:p w14:paraId="445E2404" w14:textId="3D79D158" w:rsidR="009F225E" w:rsidRDefault="009F225E" w:rsidP="009F225E">
      <w:pPr>
        <w:pStyle w:val="NormalWeb"/>
        <w:rPr>
          <w:rStyle w:val="Strong"/>
          <w:b w:val="0"/>
          <w:bCs w:val="0"/>
          <w:sz w:val="22"/>
          <w:szCs w:val="22"/>
        </w:rPr>
      </w:pPr>
      <w:r w:rsidRPr="009F225E">
        <w:rPr>
          <w:rStyle w:val="Strong"/>
          <w:b w:val="0"/>
          <w:bCs w:val="0"/>
          <w:sz w:val="22"/>
          <w:szCs w:val="22"/>
        </w:rPr>
        <w:t xml:space="preserve">~ The </w:t>
      </w:r>
      <w:r w:rsidR="00F372CA">
        <w:rPr>
          <w:rStyle w:val="Strong"/>
          <w:b w:val="0"/>
          <w:bCs w:val="0"/>
          <w:sz w:val="22"/>
          <w:szCs w:val="22"/>
        </w:rPr>
        <w:t>MoU</w:t>
      </w:r>
      <w:r w:rsidRPr="009F225E">
        <w:rPr>
          <w:rStyle w:val="Strong"/>
          <w:b w:val="0"/>
          <w:bCs w:val="0"/>
          <w:sz w:val="22"/>
          <w:szCs w:val="22"/>
        </w:rPr>
        <w:t xml:space="preserve"> reinforces INOXGFL Group’s ‘One Integrated’ renewable strategy</w:t>
      </w:r>
    </w:p>
    <w:p w14:paraId="0560FB4F" w14:textId="2D6517FE" w:rsidR="00A372D9" w:rsidRPr="009F225E" w:rsidRDefault="00A372D9" w:rsidP="00A372D9">
      <w:pPr>
        <w:pStyle w:val="NormalWeb"/>
        <w:tabs>
          <w:tab w:val="left" w:pos="7150"/>
        </w:tabs>
        <w:rPr>
          <w:b/>
          <w:bCs/>
          <w:sz w:val="22"/>
          <w:szCs w:val="22"/>
        </w:rPr>
      </w:pPr>
      <w:r>
        <w:rPr>
          <w:rStyle w:val="Strong"/>
          <w:b w:val="0"/>
          <w:bCs w:val="0"/>
          <w:sz w:val="22"/>
          <w:szCs w:val="22"/>
        </w:rPr>
        <w:t xml:space="preserve">~ Inox </w:t>
      </w:r>
      <w:proofErr w:type="spellStart"/>
      <w:r>
        <w:rPr>
          <w:rStyle w:val="Strong"/>
          <w:b w:val="0"/>
          <w:bCs w:val="0"/>
          <w:sz w:val="22"/>
          <w:szCs w:val="22"/>
        </w:rPr>
        <w:t>Clean’s</w:t>
      </w:r>
      <w:proofErr w:type="spellEnd"/>
      <w:r>
        <w:rPr>
          <w:rStyle w:val="Strong"/>
          <w:b w:val="0"/>
          <w:bCs w:val="0"/>
          <w:sz w:val="22"/>
          <w:szCs w:val="22"/>
        </w:rPr>
        <w:t xml:space="preserve"> ambitious growth provides multi-year revenue visibility for Inox Wind </w:t>
      </w:r>
    </w:p>
    <w:p w14:paraId="6A98997F" w14:textId="05BF7C57" w:rsidR="009F225E" w:rsidRDefault="009F225E" w:rsidP="009F225E">
      <w:pPr>
        <w:pStyle w:val="NormalWeb"/>
      </w:pPr>
      <w:r>
        <w:rPr>
          <w:rStyle w:val="Strong"/>
        </w:rPr>
        <w:t xml:space="preserve">Noida, June </w:t>
      </w:r>
      <w:r w:rsidR="00A372D9">
        <w:rPr>
          <w:rStyle w:val="Strong"/>
        </w:rPr>
        <w:t>16</w:t>
      </w:r>
      <w:r>
        <w:rPr>
          <w:rStyle w:val="Strong"/>
        </w:rPr>
        <w:t>, 2026:</w:t>
      </w:r>
      <w:r>
        <w:t xml:space="preserve"> Inox Wind Limited (IWL), India’s leading wind energy solutions provider, today announced that it has signed an MoU with Inox </w:t>
      </w:r>
      <w:r w:rsidR="00FF737B">
        <w:t>s</w:t>
      </w:r>
      <w:r>
        <w:t>Clean Energy (Inox Clean), India’s fastest-growing independent power producer (IPP) and solar cell &amp; module manufacturing platform, to supply 1,500 MW of wind turbines.</w:t>
      </w:r>
    </w:p>
    <w:p w14:paraId="7B459A7D" w14:textId="77777777" w:rsidR="009F225E" w:rsidRDefault="009F225E" w:rsidP="009F225E">
      <w:pPr>
        <w:pStyle w:val="NormalWeb"/>
      </w:pPr>
      <w:r>
        <w:t>The MoU is to supply Inox Clean with IWL’s advanced 3.3 MW and 4X MW wind turbines for renewable energy projects being developed by Inox Clean across India.</w:t>
      </w:r>
    </w:p>
    <w:p w14:paraId="3844A931" w14:textId="77777777" w:rsidR="009F225E" w:rsidRDefault="009F225E" w:rsidP="009F225E">
      <w:pPr>
        <w:pStyle w:val="NormalWeb"/>
      </w:pPr>
      <w:r>
        <w:t>This is in line with the elaborate interplay within INOXGFL Group entities, aiding execution and revenue generation and creating a virtuous cycle of collaboration among Group companies. Large orders from the Group companies will help secure growth and insulate the business from market cycles.</w:t>
      </w:r>
    </w:p>
    <w:p w14:paraId="3D1B9956" w14:textId="0FEB5472" w:rsidR="009F225E" w:rsidRDefault="009F225E" w:rsidP="009F225E">
      <w:pPr>
        <w:pStyle w:val="NormalWeb"/>
      </w:pPr>
      <w:r>
        <w:t xml:space="preserve">The </w:t>
      </w:r>
      <w:r w:rsidR="00F372CA">
        <w:t>MoU</w:t>
      </w:r>
      <w:r>
        <w:t xml:space="preserve"> follows the Group’s recently launched transformative ‘One Integrated’ renewable strategy, aimed at creating a fully integrated renewable energy ecosystem spanning manufacturing, EPC, IPP and O&amp;M services.</w:t>
      </w:r>
    </w:p>
    <w:p w14:paraId="66D65E98" w14:textId="77777777" w:rsidR="009F225E" w:rsidRDefault="009F225E" w:rsidP="009F225E">
      <w:pPr>
        <w:pStyle w:val="NormalWeb"/>
      </w:pPr>
      <w:r>
        <w:t>The integrated strategy combines the strengths of Inox Clean Energy, Inox Renewable Solutions (IRSL), Inox Green Energy Services and Inox Wind to create a scalable renewable energy powerhouse with enhanced execution capabilities, stronger recurring revenue streams and long-term growth visibility.</w:t>
      </w:r>
    </w:p>
    <w:p w14:paraId="48F7CBB4" w14:textId="77777777" w:rsidR="009F225E" w:rsidRDefault="009F225E" w:rsidP="009F225E">
      <w:pPr>
        <w:pStyle w:val="NormalWeb"/>
      </w:pPr>
      <w:r>
        <w:t>As part of this strategy, Inox Clean—the Group’s renewable IPP and solar cell &amp; module manufacturing business—is rapidly emerging as one of the leading renewable platforms globally. The company has become one of the fastest renewable energy companies to achieve an operational portfolio of approximately 3.5 GW within the first two years of operations and plans to add over 3 GW of renewable capacity annually going forward. Inox Clean is targeting an operational renewable portfolio of 14 GW by FY29. Approximately 20%–30% of these annual additions are expected to be wind, translating into multi-year recurring order visibility for Inox Wind and creating a strong foundation for sustained growth.</w:t>
      </w:r>
    </w:p>
    <w:p w14:paraId="654E941A" w14:textId="57550022" w:rsidR="009F225E" w:rsidRDefault="009F225E" w:rsidP="009F225E">
      <w:pPr>
        <w:pStyle w:val="NormalWeb"/>
      </w:pPr>
      <w:r>
        <w:t xml:space="preserve">Commenting on the development, </w:t>
      </w:r>
      <w:r w:rsidRPr="00F372CA">
        <w:rPr>
          <w:b/>
          <w:bCs/>
        </w:rPr>
        <w:t>Mr. Sanjeev Agarwal, CEO, Inox Wind</w:t>
      </w:r>
      <w:r>
        <w:t xml:space="preserve"> Ltd., said, “We are delighted to have signed this MoU with Inox Clean for the supply of 1,500 MW of advanced wind turbines. Inox Clean has ambitious plans to develop and deliver long-term clean energy solutions to its customers, and we are pleased to be a key partner in the Group’s mission to accelerate India’s energy transition, while also benefiting from a steady multi-year order inflow. We have a robust order book of 3.1 GW and, with this new MoU, our order book crosses 4.5 GW, which covers us for the next </w:t>
      </w:r>
      <w:r w:rsidR="00E74DF9">
        <w:t>few</w:t>
      </w:r>
      <w:r>
        <w:t xml:space="preserve"> years.”</w:t>
      </w:r>
    </w:p>
    <w:p w14:paraId="12948FE0" w14:textId="77777777" w:rsidR="009F225E" w:rsidRDefault="009F225E" w:rsidP="009F225E">
      <w:pPr>
        <w:pStyle w:val="NormalWeb"/>
      </w:pPr>
      <w:r>
        <w:t xml:space="preserve">Speaking on the occasion, </w:t>
      </w:r>
      <w:r w:rsidRPr="00F372CA">
        <w:rPr>
          <w:b/>
          <w:bCs/>
        </w:rPr>
        <w:t>Mr. Bharat Saxena, CEO, Inox Clean Energy,</w:t>
      </w:r>
      <w:r>
        <w:t xml:space="preserve"> said, “This MoU represents a significant milestone in the execution of the INOXGFL Group’s ‘One Integrated’ renewable strategy. As Inox Clean accelerates towards its target of building a 14 GW </w:t>
      </w:r>
      <w:r>
        <w:lastRenderedPageBreak/>
        <w:t>renewable energy portfolio by FY29, having access to world-class wind manufacturing, execution and O&amp;M capabilities within the Group provides us with a distinct competitive advantage. The partnership with Inox Wind will enable faster project execution, greater supply chain certainty and improved capital efficiency as we continue to scale one of India’s fastest-growing renewable energy platforms.”</w:t>
      </w:r>
    </w:p>
    <w:p w14:paraId="0BAF6546" w14:textId="59BB6926" w:rsidR="00F75A16" w:rsidRDefault="00F75A16" w:rsidP="009F225E"/>
    <w:p w14:paraId="05BDC314" w14:textId="5BF19BCC" w:rsidR="00A372D9" w:rsidRDefault="00A372D9" w:rsidP="009F225E"/>
    <w:p w14:paraId="7DCFD82C" w14:textId="77777777" w:rsidR="00A372D9" w:rsidRDefault="00A372D9" w:rsidP="00A372D9">
      <w:pPr>
        <w:pStyle w:val="Default"/>
        <w:spacing w:line="276" w:lineRule="auto"/>
        <w:rPr>
          <w:rFonts w:ascii="Times New Roman" w:hAnsi="Times New Roman" w:cs="Times New Roman"/>
          <w:b/>
          <w:bCs/>
          <w:color w:val="auto"/>
          <w:u w:val="single"/>
          <w:lang w:val="en-IN" w:eastAsia="en-IN"/>
        </w:rPr>
      </w:pPr>
      <w:r w:rsidRPr="00A372D9">
        <w:rPr>
          <w:rFonts w:ascii="Times New Roman" w:hAnsi="Times New Roman" w:cs="Times New Roman"/>
          <w:b/>
          <w:bCs/>
          <w:color w:val="auto"/>
          <w:u w:val="single"/>
          <w:lang w:val="en-IN" w:eastAsia="en-IN"/>
        </w:rPr>
        <w:t xml:space="preserve">About Inox Wind </w:t>
      </w:r>
    </w:p>
    <w:p w14:paraId="4D1914EB" w14:textId="29A51B94" w:rsidR="00A372D9" w:rsidRPr="00A372D9" w:rsidRDefault="00A372D9" w:rsidP="00A372D9">
      <w:pPr>
        <w:pStyle w:val="Default"/>
        <w:spacing w:line="276" w:lineRule="auto"/>
        <w:rPr>
          <w:rFonts w:ascii="Times New Roman" w:hAnsi="Times New Roman" w:cs="Times New Roman"/>
          <w:b/>
          <w:bCs/>
          <w:color w:val="auto"/>
          <w:u w:val="single"/>
          <w:lang w:val="en-IN" w:eastAsia="en-IN"/>
        </w:rPr>
      </w:pPr>
      <w:r w:rsidRPr="00A372D9">
        <w:rPr>
          <w:rFonts w:ascii="Times New Roman" w:hAnsi="Times New Roman" w:cs="Times New Roman"/>
          <w:lang w:val="en-IN" w:eastAsia="en-IN"/>
        </w:rPr>
        <w:t>Inox Wind Limited (IWL) is India’s leading wind energy solutions provider servicing IPPs, Utilities, PSUs &amp; Corporate investors. IWL is a part of the multi-billion-dollar INOXGFL Group which has a legacy of over nine decades and is primarily focused on two business verticals - chemicals and renewable energy. IWL is a fully integrated player in the wind energy market with five state-of-the-art manufacturing plants in Gujarat, Madhya Pradesh and Himachal Pradesh, where Blades, Tubular Towers, as well as Hubs &amp; Nacelles are manufactured. With its state-of-the-art 3 MW series WTG offering, IWL’s manufacturing capacity stands at ~ 2.5 GW per annum.</w:t>
      </w:r>
    </w:p>
    <w:p w14:paraId="5644622C" w14:textId="77777777" w:rsidR="00A372D9" w:rsidRPr="00A372D9" w:rsidRDefault="00A372D9" w:rsidP="00A372D9">
      <w:pPr>
        <w:autoSpaceDE w:val="0"/>
        <w:autoSpaceDN w:val="0"/>
        <w:adjustRightInd w:val="0"/>
        <w:spacing w:line="276" w:lineRule="auto"/>
        <w:rPr>
          <w:sz w:val="24"/>
          <w:szCs w:val="24"/>
          <w:lang w:val="en-IN" w:eastAsia="en-IN"/>
        </w:rPr>
      </w:pPr>
    </w:p>
    <w:p w14:paraId="187713EB" w14:textId="77777777" w:rsidR="00A372D9" w:rsidRPr="00A372D9" w:rsidRDefault="00A372D9" w:rsidP="00A372D9">
      <w:pPr>
        <w:autoSpaceDE w:val="0"/>
        <w:autoSpaceDN w:val="0"/>
        <w:adjustRightInd w:val="0"/>
        <w:spacing w:line="276" w:lineRule="auto"/>
        <w:rPr>
          <w:sz w:val="24"/>
          <w:szCs w:val="24"/>
          <w:lang w:val="en-IN" w:eastAsia="en-IN"/>
        </w:rPr>
      </w:pPr>
      <w:r w:rsidRPr="00A372D9">
        <w:rPr>
          <w:sz w:val="24"/>
          <w:szCs w:val="24"/>
          <w:lang w:val="en-IN" w:eastAsia="en-IN"/>
        </w:rPr>
        <w:t xml:space="preserve">IWL’s subsidiary, Inox Green Energy Services Ltd., is the only listed pure-play renewable O&amp;M services company in India, having a strong portfolio (including investments) of ~ 12.5 GW of assets and a multi-fold growth path ahead. Through its other subsidiary, Inox Renewable Solutions (earlier known as </w:t>
      </w:r>
      <w:proofErr w:type="spellStart"/>
      <w:r w:rsidRPr="00A372D9">
        <w:rPr>
          <w:sz w:val="24"/>
          <w:szCs w:val="24"/>
          <w:lang w:val="en-IN" w:eastAsia="en-IN"/>
        </w:rPr>
        <w:t>Resco</w:t>
      </w:r>
      <w:proofErr w:type="spellEnd"/>
      <w:r w:rsidRPr="00A372D9">
        <w:rPr>
          <w:sz w:val="24"/>
          <w:szCs w:val="24"/>
          <w:lang w:val="en-IN" w:eastAsia="en-IN"/>
        </w:rPr>
        <w:t xml:space="preserve"> Global Wind Services </w:t>
      </w:r>
      <w:proofErr w:type="spellStart"/>
      <w:r w:rsidRPr="00A372D9">
        <w:rPr>
          <w:sz w:val="24"/>
          <w:szCs w:val="24"/>
          <w:lang w:val="en-IN" w:eastAsia="en-IN"/>
        </w:rPr>
        <w:t>Pvt.</w:t>
      </w:r>
      <w:proofErr w:type="spellEnd"/>
      <w:r w:rsidRPr="00A372D9">
        <w:rPr>
          <w:sz w:val="24"/>
          <w:szCs w:val="24"/>
          <w:lang w:val="en-IN" w:eastAsia="en-IN"/>
        </w:rPr>
        <w:t xml:space="preserve"> Ltd.), IWL provides EPC services for wind projects and develops common infrastructure, including power evacuation infrastructure, for renewable projects.</w:t>
      </w:r>
    </w:p>
    <w:p w14:paraId="2B43E15C" w14:textId="77777777" w:rsidR="00A372D9" w:rsidRPr="00A372D9" w:rsidRDefault="00A372D9" w:rsidP="00A372D9">
      <w:pPr>
        <w:autoSpaceDE w:val="0"/>
        <w:autoSpaceDN w:val="0"/>
        <w:adjustRightInd w:val="0"/>
        <w:spacing w:line="276" w:lineRule="auto"/>
        <w:rPr>
          <w:sz w:val="24"/>
          <w:szCs w:val="24"/>
          <w:lang w:val="en-IN" w:eastAsia="en-IN"/>
        </w:rPr>
      </w:pPr>
    </w:p>
    <w:p w14:paraId="662948BB" w14:textId="630371D0" w:rsidR="00A372D9" w:rsidRDefault="00A372D9" w:rsidP="00A372D9">
      <w:pPr>
        <w:autoSpaceDE w:val="0"/>
        <w:autoSpaceDN w:val="0"/>
        <w:adjustRightInd w:val="0"/>
        <w:spacing w:line="276" w:lineRule="auto"/>
        <w:rPr>
          <w:sz w:val="24"/>
          <w:szCs w:val="24"/>
          <w:lang w:val="en-IN" w:eastAsia="en-IN"/>
        </w:rPr>
      </w:pPr>
      <w:r w:rsidRPr="00A372D9">
        <w:rPr>
          <w:sz w:val="24"/>
          <w:szCs w:val="24"/>
          <w:lang w:val="en-IN" w:eastAsia="en-IN"/>
        </w:rPr>
        <w:t>IWL offers end-to-end wind energy solutions from concept to commissioning to O&amp;M, manufacturing key components of WTGs, using the most advanced technology, in-house, to maintain high quality, reliability and cost competitiveness. IWL has ISO 9001:2008, ISO 14001:2004, OHSAS 18001 and ISO 3834 certifications for its management systems pertaining to the manufacturing, installation, commissioning and O&amp;M of wind turbines. With strong promoter backing, healthy balance sheet, robust stakeholder relationships, and bright macro prospects, IWL is embarking on an exciting journey of growth and profitability.</w:t>
      </w:r>
    </w:p>
    <w:p w14:paraId="16321540" w14:textId="1A66062E" w:rsidR="00A372D9" w:rsidRDefault="00A372D9" w:rsidP="00A372D9">
      <w:pPr>
        <w:autoSpaceDE w:val="0"/>
        <w:autoSpaceDN w:val="0"/>
        <w:adjustRightInd w:val="0"/>
        <w:spacing w:line="276" w:lineRule="auto"/>
        <w:rPr>
          <w:sz w:val="24"/>
          <w:szCs w:val="24"/>
          <w:lang w:val="en-IN" w:eastAsia="en-IN"/>
        </w:rPr>
      </w:pPr>
    </w:p>
    <w:p w14:paraId="3AFB85F8" w14:textId="77777777" w:rsidR="00A372D9" w:rsidRDefault="00A372D9" w:rsidP="00A372D9">
      <w:pPr>
        <w:spacing w:before="100" w:beforeAutospacing="1" w:after="100" w:afterAutospacing="1"/>
        <w:rPr>
          <w:sz w:val="24"/>
          <w:szCs w:val="24"/>
          <w:lang w:val="en-IN" w:eastAsia="en-IN"/>
        </w:rPr>
      </w:pPr>
      <w:r>
        <w:rPr>
          <w:b/>
          <w:bCs/>
          <w:sz w:val="24"/>
          <w:szCs w:val="24"/>
          <w:u w:val="single"/>
          <w:lang w:eastAsia="en-IN"/>
        </w:rPr>
        <w:t>About Inox Clean Energy Limited</w:t>
      </w:r>
      <w:r>
        <w:rPr>
          <w:sz w:val="24"/>
          <w:szCs w:val="24"/>
          <w:lang w:eastAsia="en-IN"/>
        </w:rPr>
        <w:br/>
        <w:t>Inox Clean, the integrated renewable energy platform of the INOXGFL Group, operates across the renewable IPP (Independent Power Producer) business under its subsidiary Inox Neo and the solar manufacturing business under its subsidiary Inox Solar Limited. Rapidly expanding across the verticals through greenfield and inorganic routes, Inox Clean targets 10 GW of installed RE IPP capacity and 11 GW of integrated solar manufacturing capacity by FY28, with assets spread across India and multiple key global geographies including the US and Africa. Combining the core strength of its robust integrated business model along with the synergies and expertise within the INOXGFL Group, Inox Clean is setting new growth benchmarks in the renewable energy space as it scales up its capacities and offerings.</w:t>
      </w:r>
    </w:p>
    <w:p w14:paraId="5E4F4D97" w14:textId="77777777" w:rsidR="00A372D9" w:rsidRDefault="00A372D9" w:rsidP="00A372D9">
      <w:pPr>
        <w:spacing w:before="100" w:beforeAutospacing="1" w:after="100" w:afterAutospacing="1"/>
        <w:rPr>
          <w:sz w:val="24"/>
          <w:szCs w:val="24"/>
          <w:lang w:eastAsia="en-IN"/>
        </w:rPr>
      </w:pPr>
    </w:p>
    <w:p w14:paraId="2360732C" w14:textId="77777777" w:rsidR="00A372D9" w:rsidRDefault="00A372D9" w:rsidP="00A372D9">
      <w:pPr>
        <w:spacing w:before="100" w:beforeAutospacing="1" w:after="100" w:afterAutospacing="1"/>
        <w:rPr>
          <w:sz w:val="24"/>
          <w:szCs w:val="24"/>
          <w:lang w:eastAsia="en-IN"/>
        </w:rPr>
      </w:pPr>
      <w:r>
        <w:rPr>
          <w:b/>
          <w:bCs/>
          <w:sz w:val="24"/>
          <w:szCs w:val="24"/>
          <w:u w:val="single"/>
          <w:lang w:eastAsia="en-IN"/>
        </w:rPr>
        <w:lastRenderedPageBreak/>
        <w:t>About INOXGFL Group</w:t>
      </w:r>
      <w:r>
        <w:rPr>
          <w:sz w:val="24"/>
          <w:szCs w:val="24"/>
          <w:lang w:eastAsia="en-IN"/>
        </w:rPr>
        <w:br/>
        <w:t xml:space="preserve">INOXGFL Group, a multi-billion-dollar Indian conglomerate, is a leader in the global energy transition space. With a legacy of over 90 years, the Group’s interests span across chemicals and renewables, with presence in over 75 countries across 5 continents. INOXGFL Group companies are forerunners across diversified business segments, with three listed entities — Gujarat Fluorochemicals Limited (GFL), a global leader in the specialty fluorine chemicals space; Inox Wind Limited (IWL), India’s leading comprehensive wind solutions provider, and Inox Green Energy Services Limited (IGESL), India’s largest listed renewables O&amp;M services provider. On the unlisted front, GFL’s subsidiary — GFCL EV Products Limited (GFCL EV) — is scaling up to become the largest </w:t>
      </w:r>
      <w:proofErr w:type="spellStart"/>
      <w:r>
        <w:rPr>
          <w:sz w:val="24"/>
          <w:szCs w:val="24"/>
          <w:lang w:eastAsia="en-IN"/>
        </w:rPr>
        <w:t>non-Chinese</w:t>
      </w:r>
      <w:proofErr w:type="spellEnd"/>
      <w:r>
        <w:rPr>
          <w:sz w:val="24"/>
          <w:szCs w:val="24"/>
          <w:lang w:eastAsia="en-IN"/>
        </w:rPr>
        <w:t xml:space="preserve"> integrated advanced battery materials supplier globally, supported by investments from IFC, Washington and OIA, Oman. Further, through Inox Clean Energy Limited (ICEL), the Group is rapidly expanding globally across renewable energy IPP and solar manufacturing verticals. The Group's performance and leadership are reflected in its diverse portfolio of products &amp; services, where several of its companies are setting new growth benchmarks, as well as impactful corporate social responsibility initiatives. With an aim to drive progress and contribute to a greener future, the INOXGFL Group continues to contribute to India’s growth story.</w:t>
      </w:r>
    </w:p>
    <w:p w14:paraId="5707C297" w14:textId="77777777" w:rsidR="00A372D9" w:rsidRPr="00A372D9" w:rsidRDefault="00A372D9" w:rsidP="00A372D9">
      <w:pPr>
        <w:autoSpaceDE w:val="0"/>
        <w:autoSpaceDN w:val="0"/>
        <w:adjustRightInd w:val="0"/>
        <w:spacing w:line="276" w:lineRule="auto"/>
        <w:rPr>
          <w:sz w:val="24"/>
          <w:szCs w:val="24"/>
          <w:lang w:val="en-IN" w:eastAsia="en-IN"/>
        </w:rPr>
      </w:pPr>
    </w:p>
    <w:p w14:paraId="5EF2D087" w14:textId="1BAB43FA" w:rsidR="00A372D9" w:rsidRPr="00A372D9" w:rsidRDefault="00A372D9" w:rsidP="00A372D9">
      <w:pPr>
        <w:rPr>
          <w:sz w:val="24"/>
          <w:szCs w:val="24"/>
          <w:lang w:val="en-IN" w:eastAsia="en-IN"/>
        </w:rPr>
      </w:pPr>
    </w:p>
    <w:p w14:paraId="145B9501" w14:textId="77777777" w:rsidR="00A372D9" w:rsidRPr="00A372D9" w:rsidRDefault="00A372D9" w:rsidP="00A372D9">
      <w:pPr>
        <w:rPr>
          <w:sz w:val="24"/>
          <w:szCs w:val="24"/>
          <w:lang w:val="en-IN" w:eastAsia="en-IN"/>
        </w:rPr>
      </w:pPr>
    </w:p>
    <w:sectPr w:rsidR="00A372D9" w:rsidRPr="00A372D9" w:rsidSect="00A372D9">
      <w:headerReference w:type="default" r:id="rId6"/>
      <w:pgSz w:w="11906" w:h="16838"/>
      <w:pgMar w:top="1440" w:right="1440" w:bottom="1440" w:left="1440" w:header="34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3006E8" w14:textId="77777777" w:rsidR="000755B1" w:rsidRDefault="000755B1" w:rsidP="000755B1">
      <w:r>
        <w:separator/>
      </w:r>
    </w:p>
  </w:endnote>
  <w:endnote w:type="continuationSeparator" w:id="0">
    <w:p w14:paraId="2E769B28" w14:textId="77777777" w:rsidR="000755B1" w:rsidRDefault="000755B1" w:rsidP="000755B1">
      <w:r>
        <w:continuationSeparator/>
      </w:r>
    </w:p>
  </w:endnote>
  <w:endnote w:type="continuationNotice" w:id="1">
    <w:p w14:paraId="6A1A0125" w14:textId="77777777" w:rsidR="004A2C39" w:rsidRDefault="004A2C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6135E" w14:textId="77777777" w:rsidR="000755B1" w:rsidRDefault="000755B1" w:rsidP="000755B1">
      <w:r>
        <w:separator/>
      </w:r>
    </w:p>
  </w:footnote>
  <w:footnote w:type="continuationSeparator" w:id="0">
    <w:p w14:paraId="0DB6362B" w14:textId="77777777" w:rsidR="000755B1" w:rsidRDefault="000755B1" w:rsidP="000755B1">
      <w:r>
        <w:continuationSeparator/>
      </w:r>
    </w:p>
  </w:footnote>
  <w:footnote w:type="continuationNotice" w:id="1">
    <w:p w14:paraId="5AE1D9BB" w14:textId="77777777" w:rsidR="004A2C39" w:rsidRDefault="004A2C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0DF5B" w14:textId="2A0EF9FC" w:rsidR="000755B1" w:rsidRDefault="003A4989" w:rsidP="00A372D9">
    <w:pPr>
      <w:pStyle w:val="NormalWeb"/>
    </w:pPr>
    <w:sdt>
      <w:sdtPr>
        <w:id w:val="424542884"/>
        <w:docPartObj>
          <w:docPartGallery w:val="Watermarks"/>
          <w:docPartUnique/>
        </w:docPartObj>
      </w:sdtPr>
      <w:sdtEndPr/>
      <w:sdtContent>
        <w:r>
          <w:rPr>
            <w:noProof/>
          </w:rPr>
          <w:pict w14:anchorId="58D9CE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MSIPWM0PowerPlusWaterMarkObject" o:spid="_x0000_s2049" type="#_x0000_t136" alt="{&quot;HashCode&quot;:-664061739,&quot;Height&quot;:841.0,&quot;Width&quot;:595.0,&quot;Placement&quot;:&quot;Header&quot;,&quot;Index&quot;:&quot;Primary&quot;,&quot;Section&quot;:1,&quot;Top&quot;:-999995.0,&quot;Left&quot;:-999995.0}" style="position:absolute;margin-left:0;margin-top:0;width:431.15pt;height:47.1pt;rotation:315;z-index:-251658752;visibility:hidden;mso-position-horizontal:center;mso-position-horizontal-relative:margin;mso-position-vertical:center;mso-position-vertical-relative:margin" o:allowincell="f" fillcolor="black" stroked="f">
              <v:textpath style="font-family:&quot;Calibri&quot;;font-size:35pt" string="Gujarat Fluorochemicals Ltd."/>
              <w10:wrap anchorx="margin" anchory="margin"/>
            </v:shape>
          </w:pict>
        </w:r>
      </w:sdtContent>
    </w:sdt>
    <w:r w:rsidR="00A372D9" w:rsidRPr="00A372D9">
      <w:t xml:space="preserve"> </w:t>
    </w:r>
    <w:r w:rsidR="00A372D9" w:rsidRPr="00A372D9">
      <w:rPr>
        <w:noProof/>
      </w:rPr>
      <w:drawing>
        <wp:inline distT="0" distB="0" distL="0" distR="0" wp14:anchorId="370C4AE4" wp14:editId="27F2A030">
          <wp:extent cx="1339850" cy="508678"/>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3921" cy="517817"/>
                  </a:xfrm>
                  <a:prstGeom prst="rect">
                    <a:avLst/>
                  </a:prstGeom>
                  <a:noFill/>
                  <a:ln>
                    <a:noFill/>
                  </a:ln>
                </pic:spPr>
              </pic:pic>
            </a:graphicData>
          </a:graphic>
        </wp:inline>
      </w:drawing>
    </w:r>
    <w:r w:rsidR="00A372D9">
      <w:t xml:space="preserve"> </w:t>
    </w:r>
    <w:r w:rsidR="00A372D9">
      <w:rPr>
        <w:noProof/>
      </w:rPr>
      <w:t xml:space="preserve"> </w:t>
    </w:r>
    <w:r w:rsidR="00A372D9">
      <w:rPr>
        <w:noProof/>
      </w:rPr>
      <w:tab/>
    </w:r>
    <w:r w:rsidR="00A372D9">
      <w:rPr>
        <w:noProof/>
      </w:rPr>
      <w:tab/>
    </w:r>
    <w:r w:rsidR="00A372D9">
      <w:rPr>
        <w:noProof/>
      </w:rPr>
      <w:tab/>
    </w:r>
    <w:r w:rsidR="00A372D9">
      <w:rPr>
        <w:noProof/>
      </w:rPr>
      <w:tab/>
    </w:r>
    <w:r w:rsidR="00A372D9">
      <w:rPr>
        <w:noProof/>
      </w:rPr>
      <w:tab/>
    </w:r>
    <w:r w:rsidR="00A372D9">
      <w:rPr>
        <w:noProof/>
      </w:rPr>
      <w:tab/>
    </w:r>
    <w:r w:rsidR="00A372D9">
      <w:rPr>
        <w:noProof/>
      </w:rPr>
      <w:drawing>
        <wp:inline distT="0" distB="0" distL="0" distR="0" wp14:anchorId="62F92E62" wp14:editId="0C7560CA">
          <wp:extent cx="1485900" cy="47800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1769" cy="49919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7F7"/>
    <w:rsid w:val="00054065"/>
    <w:rsid w:val="000755B1"/>
    <w:rsid w:val="00075DF7"/>
    <w:rsid w:val="00110D75"/>
    <w:rsid w:val="001A7AAD"/>
    <w:rsid w:val="001E50E5"/>
    <w:rsid w:val="00307C3D"/>
    <w:rsid w:val="00344628"/>
    <w:rsid w:val="003764A3"/>
    <w:rsid w:val="003A4989"/>
    <w:rsid w:val="003B0554"/>
    <w:rsid w:val="00412346"/>
    <w:rsid w:val="00465CAE"/>
    <w:rsid w:val="004A2C39"/>
    <w:rsid w:val="004F4A2E"/>
    <w:rsid w:val="00542615"/>
    <w:rsid w:val="005552D5"/>
    <w:rsid w:val="00567064"/>
    <w:rsid w:val="00567D87"/>
    <w:rsid w:val="00574CED"/>
    <w:rsid w:val="005F6EEB"/>
    <w:rsid w:val="006013BF"/>
    <w:rsid w:val="00610430"/>
    <w:rsid w:val="00617D42"/>
    <w:rsid w:val="006B3FAA"/>
    <w:rsid w:val="006C4E42"/>
    <w:rsid w:val="00715B9F"/>
    <w:rsid w:val="00743B34"/>
    <w:rsid w:val="007651AA"/>
    <w:rsid w:val="00795B2D"/>
    <w:rsid w:val="007C77EF"/>
    <w:rsid w:val="00823735"/>
    <w:rsid w:val="00855B6A"/>
    <w:rsid w:val="00861005"/>
    <w:rsid w:val="008E212B"/>
    <w:rsid w:val="008E3AA1"/>
    <w:rsid w:val="0093264E"/>
    <w:rsid w:val="0098719F"/>
    <w:rsid w:val="009D70AD"/>
    <w:rsid w:val="009F225E"/>
    <w:rsid w:val="009F2292"/>
    <w:rsid w:val="00A0063C"/>
    <w:rsid w:val="00A1106A"/>
    <w:rsid w:val="00A1651B"/>
    <w:rsid w:val="00A372D9"/>
    <w:rsid w:val="00B102B6"/>
    <w:rsid w:val="00B17D6E"/>
    <w:rsid w:val="00B32C7B"/>
    <w:rsid w:val="00BC7F98"/>
    <w:rsid w:val="00CC67F7"/>
    <w:rsid w:val="00CD121E"/>
    <w:rsid w:val="00CF4B44"/>
    <w:rsid w:val="00D6376A"/>
    <w:rsid w:val="00E23D15"/>
    <w:rsid w:val="00E25B6B"/>
    <w:rsid w:val="00E67002"/>
    <w:rsid w:val="00E74DF9"/>
    <w:rsid w:val="00F27FF5"/>
    <w:rsid w:val="00F372CA"/>
    <w:rsid w:val="00F56135"/>
    <w:rsid w:val="00F75A16"/>
    <w:rsid w:val="00FA331A"/>
    <w:rsid w:val="00FD2E10"/>
    <w:rsid w:val="00FD3429"/>
    <w:rsid w:val="00FF737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10ED7CA"/>
  <w15:chartTrackingRefBased/>
  <w15:docId w15:val="{4C1F5C5E-A018-4E71-AC9A-90FE83099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3429"/>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D3429"/>
    <w:pPr>
      <w:spacing w:before="100" w:beforeAutospacing="1" w:after="100" w:afterAutospacing="1"/>
    </w:pPr>
    <w:rPr>
      <w:sz w:val="24"/>
      <w:szCs w:val="24"/>
      <w:lang w:val="en-IN" w:eastAsia="en-IN"/>
    </w:rPr>
  </w:style>
  <w:style w:type="character" w:styleId="Strong">
    <w:name w:val="Strong"/>
    <w:basedOn w:val="DefaultParagraphFont"/>
    <w:uiPriority w:val="22"/>
    <w:qFormat/>
    <w:rsid w:val="00FD3429"/>
    <w:rPr>
      <w:b/>
      <w:bCs/>
    </w:rPr>
  </w:style>
  <w:style w:type="character" w:styleId="Emphasis">
    <w:name w:val="Emphasis"/>
    <w:basedOn w:val="DefaultParagraphFont"/>
    <w:uiPriority w:val="20"/>
    <w:qFormat/>
    <w:rsid w:val="00FD3429"/>
    <w:rPr>
      <w:i/>
      <w:iCs/>
    </w:rPr>
  </w:style>
  <w:style w:type="paragraph" w:styleId="Header">
    <w:name w:val="header"/>
    <w:basedOn w:val="Normal"/>
    <w:link w:val="HeaderChar"/>
    <w:uiPriority w:val="99"/>
    <w:unhideWhenUsed/>
    <w:rsid w:val="000755B1"/>
    <w:pPr>
      <w:tabs>
        <w:tab w:val="center" w:pos="4513"/>
        <w:tab w:val="right" w:pos="9026"/>
      </w:tabs>
    </w:pPr>
  </w:style>
  <w:style w:type="character" w:customStyle="1" w:styleId="HeaderChar">
    <w:name w:val="Header Char"/>
    <w:basedOn w:val="DefaultParagraphFont"/>
    <w:link w:val="Header"/>
    <w:uiPriority w:val="99"/>
    <w:rsid w:val="000755B1"/>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0755B1"/>
    <w:pPr>
      <w:tabs>
        <w:tab w:val="center" w:pos="4513"/>
        <w:tab w:val="right" w:pos="9026"/>
      </w:tabs>
    </w:pPr>
  </w:style>
  <w:style w:type="character" w:customStyle="1" w:styleId="FooterChar">
    <w:name w:val="Footer Char"/>
    <w:basedOn w:val="DefaultParagraphFont"/>
    <w:link w:val="Footer"/>
    <w:uiPriority w:val="99"/>
    <w:rsid w:val="000755B1"/>
    <w:rPr>
      <w:rFonts w:ascii="Times New Roman" w:eastAsia="Times New Roman" w:hAnsi="Times New Roman" w:cs="Times New Roman"/>
      <w:sz w:val="20"/>
      <w:szCs w:val="20"/>
      <w:lang w:val="en-US"/>
    </w:rPr>
  </w:style>
  <w:style w:type="paragraph" w:customStyle="1" w:styleId="Default">
    <w:name w:val="Default"/>
    <w:rsid w:val="00A372D9"/>
    <w:pPr>
      <w:autoSpaceDE w:val="0"/>
      <w:autoSpaceDN w:val="0"/>
      <w:adjustRightInd w:val="0"/>
      <w:spacing w:after="0" w:line="240" w:lineRule="auto"/>
    </w:pPr>
    <w:rPr>
      <w:rFonts w:ascii="Calibri" w:eastAsia="Times New Roman" w:hAnsi="Calibri" w:cs="Calibri"/>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126345">
      <w:bodyDiv w:val="1"/>
      <w:marLeft w:val="0"/>
      <w:marRight w:val="0"/>
      <w:marTop w:val="0"/>
      <w:marBottom w:val="0"/>
      <w:divBdr>
        <w:top w:val="none" w:sz="0" w:space="0" w:color="auto"/>
        <w:left w:val="none" w:sz="0" w:space="0" w:color="auto"/>
        <w:bottom w:val="none" w:sz="0" w:space="0" w:color="auto"/>
        <w:right w:val="none" w:sz="0" w:space="0" w:color="auto"/>
      </w:divBdr>
    </w:div>
    <w:div w:id="293294090">
      <w:bodyDiv w:val="1"/>
      <w:marLeft w:val="0"/>
      <w:marRight w:val="0"/>
      <w:marTop w:val="0"/>
      <w:marBottom w:val="0"/>
      <w:divBdr>
        <w:top w:val="none" w:sz="0" w:space="0" w:color="auto"/>
        <w:left w:val="none" w:sz="0" w:space="0" w:color="auto"/>
        <w:bottom w:val="none" w:sz="0" w:space="0" w:color="auto"/>
        <w:right w:val="none" w:sz="0" w:space="0" w:color="auto"/>
      </w:divBdr>
    </w:div>
    <w:div w:id="392851010">
      <w:bodyDiv w:val="1"/>
      <w:marLeft w:val="0"/>
      <w:marRight w:val="0"/>
      <w:marTop w:val="0"/>
      <w:marBottom w:val="0"/>
      <w:divBdr>
        <w:top w:val="none" w:sz="0" w:space="0" w:color="auto"/>
        <w:left w:val="none" w:sz="0" w:space="0" w:color="auto"/>
        <w:bottom w:val="none" w:sz="0" w:space="0" w:color="auto"/>
        <w:right w:val="none" w:sz="0" w:space="0" w:color="auto"/>
      </w:divBdr>
    </w:div>
    <w:div w:id="444734608">
      <w:bodyDiv w:val="1"/>
      <w:marLeft w:val="0"/>
      <w:marRight w:val="0"/>
      <w:marTop w:val="0"/>
      <w:marBottom w:val="0"/>
      <w:divBdr>
        <w:top w:val="none" w:sz="0" w:space="0" w:color="auto"/>
        <w:left w:val="none" w:sz="0" w:space="0" w:color="auto"/>
        <w:bottom w:val="none" w:sz="0" w:space="0" w:color="auto"/>
        <w:right w:val="none" w:sz="0" w:space="0" w:color="auto"/>
      </w:divBdr>
    </w:div>
    <w:div w:id="1970354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Azure%20Information%20Protection\Watermar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WatermarkTemplate</Template>
  <TotalTime>11</TotalTime>
  <Pages>3</Pages>
  <Words>1121</Words>
  <Characters>6393</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Mohit  Sharma</dc:creator>
  <cp:keywords/>
  <dc:description/>
  <cp:lastModifiedBy>Mohit  Sharma</cp:lastModifiedBy>
  <cp:revision>2</cp:revision>
  <dcterms:created xsi:type="dcterms:W3CDTF">2026-06-16T06:29:00Z</dcterms:created>
  <dcterms:modified xsi:type="dcterms:W3CDTF">2026-06-16T06:29:00Z</dcterms:modified>
</cp:coreProperties>
</file>