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E729A" w14:textId="0E62B7C4" w:rsidR="00FA27B1" w:rsidRDefault="00FA27B1" w:rsidP="00FA27B1">
      <w:pPr>
        <w:spacing w:before="100" w:beforeAutospacing="1" w:after="100" w:afterAutospacing="1"/>
        <w:jc w:val="center"/>
        <w:rPr>
          <w:rFonts w:asciiTheme="minorHAnsi" w:eastAsia="Times New Roman" w:hAnsiTheme="minorHAnsi" w:cstheme="minorHAnsi"/>
          <w:b/>
          <w:bCs/>
          <w:sz w:val="32"/>
          <w:szCs w:val="32"/>
          <w:lang w:eastAsia="en-IN"/>
        </w:rPr>
      </w:pPr>
      <w:r w:rsidRPr="00FA27B1">
        <w:rPr>
          <w:rFonts w:asciiTheme="minorHAnsi" w:eastAsia="Times New Roman" w:hAnsiTheme="minorHAnsi" w:cstheme="minorHAnsi"/>
          <w:b/>
          <w:bCs/>
          <w:sz w:val="32"/>
          <w:szCs w:val="32"/>
          <w:lang w:eastAsia="en-IN"/>
        </w:rPr>
        <w:t xml:space="preserve">Inox Clean Energy subsidiary signs agreement with </w:t>
      </w:r>
      <w:proofErr w:type="spellStart"/>
      <w:r w:rsidRPr="00FA27B1">
        <w:rPr>
          <w:rFonts w:asciiTheme="minorHAnsi" w:eastAsia="Times New Roman" w:hAnsiTheme="minorHAnsi" w:cstheme="minorHAnsi"/>
          <w:b/>
          <w:bCs/>
          <w:sz w:val="32"/>
          <w:szCs w:val="32"/>
          <w:lang w:eastAsia="en-IN"/>
        </w:rPr>
        <w:t>LONGi</w:t>
      </w:r>
      <w:proofErr w:type="spellEnd"/>
      <w:r w:rsidRPr="00FA27B1">
        <w:rPr>
          <w:rFonts w:asciiTheme="minorHAnsi" w:eastAsia="Times New Roman" w:hAnsiTheme="minorHAnsi" w:cstheme="minorHAnsi"/>
          <w:b/>
          <w:bCs/>
          <w:sz w:val="32"/>
          <w:szCs w:val="32"/>
          <w:lang w:eastAsia="en-IN"/>
        </w:rPr>
        <w:t xml:space="preserve"> to supply 5 GW of solar modules</w:t>
      </w:r>
    </w:p>
    <w:p w14:paraId="7C309CF6" w14:textId="77777777" w:rsidR="00FA27B1" w:rsidRPr="00FA27B1" w:rsidRDefault="00FA27B1" w:rsidP="00FA27B1">
      <w:pPr>
        <w:spacing w:before="100" w:beforeAutospacing="1" w:after="100" w:afterAutospacing="1"/>
        <w:jc w:val="center"/>
        <w:rPr>
          <w:rFonts w:asciiTheme="minorHAnsi" w:eastAsia="Times New Roman" w:hAnsiTheme="minorHAnsi" w:cstheme="minorHAnsi"/>
          <w:i/>
          <w:iCs/>
          <w:sz w:val="32"/>
          <w:szCs w:val="32"/>
          <w:lang w:eastAsia="en-IN"/>
        </w:rPr>
      </w:pPr>
    </w:p>
    <w:p w14:paraId="2EC5B223" w14:textId="3ADB45DE" w:rsidR="003C6D4D" w:rsidRDefault="00FA27B1" w:rsidP="00FA27B1">
      <w:pPr>
        <w:spacing w:before="100" w:beforeAutospacing="1" w:after="100" w:afterAutospacing="1"/>
        <w:rPr>
          <w:rFonts w:asciiTheme="minorHAnsi" w:eastAsia="Times New Roman" w:hAnsiTheme="minorHAnsi" w:cstheme="minorHAnsi"/>
          <w:i/>
          <w:iCs/>
          <w:lang w:eastAsia="en-IN"/>
        </w:rPr>
      </w:pPr>
      <w:r w:rsidRPr="00FA27B1">
        <w:rPr>
          <w:rFonts w:asciiTheme="minorHAnsi" w:eastAsia="Times New Roman" w:hAnsiTheme="minorHAnsi" w:cstheme="minorHAnsi"/>
          <w:i/>
          <w:iCs/>
          <w:lang w:eastAsia="en-IN"/>
        </w:rPr>
        <w:t>~ Inox Solar Limited will supply solar modules over the next three years for the Indian market</w:t>
      </w:r>
      <w:r w:rsidRPr="00FA27B1">
        <w:rPr>
          <w:rFonts w:asciiTheme="minorHAnsi" w:eastAsia="Times New Roman" w:hAnsiTheme="minorHAnsi" w:cstheme="minorHAnsi"/>
          <w:i/>
          <w:iCs/>
          <w:lang w:eastAsia="en-IN"/>
        </w:rPr>
        <w:br/>
        <w:t xml:space="preserve">~ </w:t>
      </w:r>
      <w:proofErr w:type="spellStart"/>
      <w:r w:rsidRPr="00FA27B1">
        <w:rPr>
          <w:rFonts w:asciiTheme="minorHAnsi" w:eastAsia="Times New Roman" w:hAnsiTheme="minorHAnsi" w:cstheme="minorHAnsi"/>
          <w:i/>
          <w:iCs/>
          <w:lang w:eastAsia="en-IN"/>
        </w:rPr>
        <w:t>LONGi</w:t>
      </w:r>
      <w:proofErr w:type="spellEnd"/>
      <w:r w:rsidRPr="00FA27B1">
        <w:rPr>
          <w:rFonts w:asciiTheme="minorHAnsi" w:eastAsia="Times New Roman" w:hAnsiTheme="minorHAnsi" w:cstheme="minorHAnsi"/>
          <w:i/>
          <w:iCs/>
          <w:lang w:eastAsia="en-IN"/>
        </w:rPr>
        <w:t xml:space="preserve"> will provide Inox Solar Limited with access to the latest advancements in module and cell technologies</w:t>
      </w:r>
      <w:r w:rsidRPr="00FA27B1">
        <w:rPr>
          <w:rFonts w:asciiTheme="minorHAnsi" w:eastAsia="Times New Roman" w:hAnsiTheme="minorHAnsi" w:cstheme="minorHAnsi"/>
          <w:i/>
          <w:iCs/>
          <w:lang w:eastAsia="en-IN"/>
        </w:rPr>
        <w:br/>
        <w:t>~ The collaboration will also ensure near-simultaneous adoption of next-generation innovations from China</w:t>
      </w:r>
    </w:p>
    <w:p w14:paraId="09141797" w14:textId="77777777" w:rsidR="003940B8" w:rsidRPr="00FA27B1" w:rsidRDefault="003940B8" w:rsidP="00FA27B1">
      <w:pPr>
        <w:spacing w:before="100" w:beforeAutospacing="1" w:after="100" w:afterAutospacing="1"/>
        <w:rPr>
          <w:rFonts w:asciiTheme="minorHAnsi" w:eastAsia="Times New Roman" w:hAnsiTheme="minorHAnsi" w:cstheme="minorHAnsi"/>
          <w:i/>
          <w:iCs/>
          <w:lang w:eastAsia="en-IN"/>
        </w:rPr>
      </w:pPr>
    </w:p>
    <w:p w14:paraId="0DD48677" w14:textId="5C1EC6A4"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b/>
          <w:bCs/>
          <w:lang w:eastAsia="en-IN"/>
        </w:rPr>
        <w:t xml:space="preserve">Noida, October </w:t>
      </w:r>
      <w:r w:rsidR="003940B8">
        <w:rPr>
          <w:rFonts w:asciiTheme="minorHAnsi" w:eastAsia="Times New Roman" w:hAnsiTheme="minorHAnsi" w:cstheme="minorHAnsi"/>
          <w:b/>
          <w:bCs/>
          <w:lang w:eastAsia="en-IN"/>
        </w:rPr>
        <w:t>29</w:t>
      </w:r>
      <w:r w:rsidR="003940B8" w:rsidRPr="003940B8">
        <w:rPr>
          <w:rFonts w:asciiTheme="minorHAnsi" w:eastAsia="Times New Roman" w:hAnsiTheme="minorHAnsi" w:cstheme="minorHAnsi"/>
          <w:b/>
          <w:bCs/>
          <w:vertAlign w:val="superscript"/>
          <w:lang w:eastAsia="en-IN"/>
        </w:rPr>
        <w:t>th</w:t>
      </w:r>
      <w:r w:rsidRPr="00FA27B1">
        <w:rPr>
          <w:rFonts w:asciiTheme="minorHAnsi" w:eastAsia="Times New Roman" w:hAnsiTheme="minorHAnsi" w:cstheme="minorHAnsi"/>
          <w:b/>
          <w:bCs/>
          <w:lang w:eastAsia="en-IN"/>
        </w:rPr>
        <w:t>, 2025</w:t>
      </w:r>
      <w:r w:rsidRPr="00FA27B1">
        <w:rPr>
          <w:rFonts w:asciiTheme="minorHAnsi" w:eastAsia="Times New Roman" w:hAnsiTheme="minorHAnsi" w:cstheme="minorHAnsi"/>
          <w:lang w:eastAsia="en-IN"/>
        </w:rPr>
        <w:t xml:space="preserve"> – Inox Solar Limited, a wholly owned subsidiary of Inox Clean Energy Limited, today announced the signing of a Memorandum of Understanding (MoU) with </w:t>
      </w:r>
      <w:proofErr w:type="spellStart"/>
      <w:r w:rsidRPr="00FA27B1">
        <w:rPr>
          <w:rFonts w:asciiTheme="minorHAnsi" w:eastAsia="Times New Roman" w:hAnsiTheme="minorHAnsi" w:cstheme="minorHAnsi"/>
          <w:lang w:eastAsia="en-IN"/>
        </w:rPr>
        <w:t>LONGi</w:t>
      </w:r>
      <w:proofErr w:type="spellEnd"/>
      <w:r w:rsidRPr="00FA27B1">
        <w:rPr>
          <w:rFonts w:asciiTheme="minorHAnsi" w:eastAsia="Times New Roman" w:hAnsiTheme="minorHAnsi" w:cstheme="minorHAnsi"/>
          <w:lang w:eastAsia="en-IN"/>
        </w:rPr>
        <w:t xml:space="preserve"> (H.K.) Trading Limited, a global leader in solar technology, to supply up to 5 GW of solar modules over the next three years for the Indian market.</w:t>
      </w:r>
    </w:p>
    <w:p w14:paraId="2D373F53" w14:textId="77777777"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lang w:eastAsia="en-IN"/>
        </w:rPr>
        <w:t xml:space="preserve">As part of the partnership, Inox Solar will work closely with </w:t>
      </w:r>
      <w:proofErr w:type="spellStart"/>
      <w:r w:rsidRPr="00FA27B1">
        <w:rPr>
          <w:rFonts w:asciiTheme="minorHAnsi" w:eastAsia="Times New Roman" w:hAnsiTheme="minorHAnsi" w:cstheme="minorHAnsi"/>
          <w:lang w:eastAsia="en-IN"/>
        </w:rPr>
        <w:t>LONGi</w:t>
      </w:r>
      <w:proofErr w:type="spellEnd"/>
      <w:r w:rsidRPr="00FA27B1">
        <w:rPr>
          <w:rFonts w:asciiTheme="minorHAnsi" w:eastAsia="Times New Roman" w:hAnsiTheme="minorHAnsi" w:cstheme="minorHAnsi"/>
          <w:lang w:eastAsia="en-IN"/>
        </w:rPr>
        <w:t xml:space="preserve"> to align with internationally benchmarked manufacturing and quality standards. The collaboration is expected to help reduce the time lag in adopting new solar innovations in India, supporting the broader goal of enhancing the technological capabilities of domestic manufacturers.</w:t>
      </w:r>
    </w:p>
    <w:p w14:paraId="3B85208E" w14:textId="77777777"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lang w:eastAsia="en-IN"/>
        </w:rPr>
        <w:t xml:space="preserve">This partnership reflects </w:t>
      </w:r>
      <w:proofErr w:type="spellStart"/>
      <w:r w:rsidRPr="00FA27B1">
        <w:rPr>
          <w:rFonts w:asciiTheme="minorHAnsi" w:eastAsia="Times New Roman" w:hAnsiTheme="minorHAnsi" w:cstheme="minorHAnsi"/>
          <w:lang w:eastAsia="en-IN"/>
        </w:rPr>
        <w:t>LONGi’s</w:t>
      </w:r>
      <w:proofErr w:type="spellEnd"/>
      <w:r w:rsidRPr="00FA27B1">
        <w:rPr>
          <w:rFonts w:asciiTheme="minorHAnsi" w:eastAsia="Times New Roman" w:hAnsiTheme="minorHAnsi" w:cstheme="minorHAnsi"/>
          <w:lang w:eastAsia="en-IN"/>
        </w:rPr>
        <w:t xml:space="preserve"> ongoing commitment to the Indian market and its support for the development of a robust, technologically advanced solar manufacturing ecosystem in the country. By sharing expertise and global best practices, </w:t>
      </w:r>
      <w:proofErr w:type="spellStart"/>
      <w:r w:rsidRPr="00FA27B1">
        <w:rPr>
          <w:rFonts w:asciiTheme="minorHAnsi" w:eastAsia="Times New Roman" w:hAnsiTheme="minorHAnsi" w:cstheme="minorHAnsi"/>
          <w:lang w:eastAsia="en-IN"/>
        </w:rPr>
        <w:t>LONGi</w:t>
      </w:r>
      <w:proofErr w:type="spellEnd"/>
      <w:r w:rsidRPr="00FA27B1">
        <w:rPr>
          <w:rFonts w:asciiTheme="minorHAnsi" w:eastAsia="Times New Roman" w:hAnsiTheme="minorHAnsi" w:cstheme="minorHAnsi"/>
          <w:lang w:eastAsia="en-IN"/>
        </w:rPr>
        <w:t xml:space="preserve"> aims to empower local partners to deliver high-performance, reliable solar products.</w:t>
      </w:r>
    </w:p>
    <w:p w14:paraId="7D3EB369" w14:textId="3B611405"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lang w:eastAsia="en-IN"/>
        </w:rPr>
        <w:t xml:space="preserve">Inox Solar Limited has already commenced production at its state-of-the-art solar module manufacturing facility in </w:t>
      </w:r>
      <w:proofErr w:type="spellStart"/>
      <w:r w:rsidRPr="00FA27B1">
        <w:rPr>
          <w:rFonts w:asciiTheme="minorHAnsi" w:eastAsia="Times New Roman" w:hAnsiTheme="minorHAnsi" w:cstheme="minorHAnsi"/>
          <w:lang w:eastAsia="en-IN"/>
        </w:rPr>
        <w:t>Bavla</w:t>
      </w:r>
      <w:proofErr w:type="spellEnd"/>
      <w:r w:rsidRPr="00FA27B1">
        <w:rPr>
          <w:rFonts w:asciiTheme="minorHAnsi" w:eastAsia="Times New Roman" w:hAnsiTheme="minorHAnsi" w:cstheme="minorHAnsi"/>
          <w:lang w:eastAsia="en-IN"/>
        </w:rPr>
        <w:t xml:space="preserve">, Ahmedabad, Gujarat, with an initial capacity of 1.2 GW. The </w:t>
      </w:r>
      <w:proofErr w:type="spellStart"/>
      <w:r w:rsidRPr="00FA27B1">
        <w:rPr>
          <w:rFonts w:asciiTheme="minorHAnsi" w:eastAsia="Times New Roman" w:hAnsiTheme="minorHAnsi" w:cstheme="minorHAnsi"/>
          <w:lang w:eastAsia="en-IN"/>
        </w:rPr>
        <w:t>Bavla</w:t>
      </w:r>
      <w:proofErr w:type="spellEnd"/>
      <w:r w:rsidRPr="00FA27B1">
        <w:rPr>
          <w:rFonts w:asciiTheme="minorHAnsi" w:eastAsia="Times New Roman" w:hAnsiTheme="minorHAnsi" w:cstheme="minorHAnsi"/>
          <w:lang w:eastAsia="en-IN"/>
        </w:rPr>
        <w:t xml:space="preserve"> facility is set to scale up further to 3 GW of module manufacturing capacity as part of its second-phase expansion</w:t>
      </w:r>
      <w:r w:rsidR="003C6D4D">
        <w:rPr>
          <w:rFonts w:asciiTheme="minorHAnsi" w:eastAsia="Times New Roman" w:hAnsiTheme="minorHAnsi" w:cstheme="minorHAnsi"/>
          <w:lang w:eastAsia="en-IN"/>
        </w:rPr>
        <w:t xml:space="preserve"> in the next few weeks</w:t>
      </w:r>
      <w:r w:rsidRPr="00FA27B1">
        <w:rPr>
          <w:rFonts w:asciiTheme="minorHAnsi" w:eastAsia="Times New Roman" w:hAnsiTheme="minorHAnsi" w:cstheme="minorHAnsi"/>
          <w:lang w:eastAsia="en-IN"/>
        </w:rPr>
        <w:t>. Inox Solar Limited is also establishing an integrated 5 GW solar cell and module manufacturing facility in Dhenkanal, Odisha.</w:t>
      </w:r>
    </w:p>
    <w:p w14:paraId="6975BC74" w14:textId="412D8F9A"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lang w:eastAsia="en-IN"/>
        </w:rPr>
        <w:t>Speaking on the occasion</w:t>
      </w:r>
      <w:r>
        <w:rPr>
          <w:rFonts w:asciiTheme="minorHAnsi" w:eastAsia="Times New Roman" w:hAnsiTheme="minorHAnsi" w:cstheme="minorHAnsi"/>
          <w:b/>
          <w:bCs/>
          <w:lang w:eastAsia="en-IN"/>
        </w:rPr>
        <w:t xml:space="preserve"> </w:t>
      </w:r>
      <w:r w:rsidRPr="00FA27B1">
        <w:rPr>
          <w:rFonts w:asciiTheme="minorHAnsi" w:eastAsia="Times New Roman" w:hAnsiTheme="minorHAnsi" w:cstheme="minorHAnsi"/>
          <w:b/>
          <w:bCs/>
          <w:lang w:eastAsia="en-IN"/>
        </w:rPr>
        <w:t>Mr. Devansh Jain, Executive Director of the INOXGFL Group,</w:t>
      </w:r>
      <w:r w:rsidRPr="00FA27B1">
        <w:rPr>
          <w:rFonts w:asciiTheme="minorHAnsi" w:eastAsia="Times New Roman" w:hAnsiTheme="minorHAnsi" w:cstheme="minorHAnsi"/>
          <w:lang w:eastAsia="en-IN"/>
        </w:rPr>
        <w:t xml:space="preserve"> stated, “We are committed to supporting India’s ambition of becoming a self-reliant solar manufacturing hub. Collaborations such as this are vital in bringing global technology and quality benchmarks to the domestic industry.</w:t>
      </w:r>
      <w:r w:rsidR="003C6D4D">
        <w:rPr>
          <w:rFonts w:asciiTheme="minorHAnsi" w:eastAsia="Times New Roman" w:hAnsiTheme="minorHAnsi" w:cstheme="minorHAnsi"/>
          <w:lang w:eastAsia="en-IN"/>
        </w:rPr>
        <w:t xml:space="preserve"> </w:t>
      </w:r>
    </w:p>
    <w:p w14:paraId="6F9F74AE" w14:textId="75322942"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b/>
          <w:bCs/>
          <w:lang w:eastAsia="en-IN"/>
        </w:rPr>
        <w:t>Mr.</w:t>
      </w:r>
      <w:r w:rsidR="003C6D4D">
        <w:rPr>
          <w:rFonts w:asciiTheme="minorHAnsi" w:eastAsia="Times New Roman" w:hAnsiTheme="minorHAnsi" w:cstheme="minorHAnsi"/>
          <w:b/>
          <w:bCs/>
          <w:lang w:eastAsia="en-IN"/>
        </w:rPr>
        <w:t xml:space="preserve"> Kailash Tarachandani</w:t>
      </w:r>
      <w:r w:rsidRPr="00FA27B1">
        <w:rPr>
          <w:rFonts w:asciiTheme="minorHAnsi" w:eastAsia="Times New Roman" w:hAnsiTheme="minorHAnsi" w:cstheme="minorHAnsi"/>
          <w:b/>
          <w:bCs/>
          <w:lang w:eastAsia="en-IN"/>
        </w:rPr>
        <w:t xml:space="preserve">, </w:t>
      </w:r>
      <w:r w:rsidR="003C6D4D">
        <w:rPr>
          <w:rFonts w:asciiTheme="minorHAnsi" w:eastAsia="Times New Roman" w:hAnsiTheme="minorHAnsi" w:cstheme="minorHAnsi"/>
          <w:b/>
          <w:bCs/>
          <w:lang w:eastAsia="en-IN"/>
        </w:rPr>
        <w:t xml:space="preserve">Group </w:t>
      </w:r>
      <w:r w:rsidRPr="00FA27B1">
        <w:rPr>
          <w:rFonts w:asciiTheme="minorHAnsi" w:eastAsia="Times New Roman" w:hAnsiTheme="minorHAnsi" w:cstheme="minorHAnsi"/>
          <w:b/>
          <w:bCs/>
          <w:lang w:eastAsia="en-IN"/>
        </w:rPr>
        <w:t xml:space="preserve">CEO </w:t>
      </w:r>
      <w:r w:rsidR="003C6D4D">
        <w:rPr>
          <w:rFonts w:asciiTheme="minorHAnsi" w:eastAsia="Times New Roman" w:hAnsiTheme="minorHAnsi" w:cstheme="minorHAnsi"/>
          <w:b/>
          <w:bCs/>
          <w:lang w:eastAsia="en-IN"/>
        </w:rPr>
        <w:t xml:space="preserve">Renewables, INOXGFL Group </w:t>
      </w:r>
      <w:r w:rsidRPr="00FA27B1">
        <w:rPr>
          <w:rFonts w:asciiTheme="minorHAnsi" w:eastAsia="Times New Roman" w:hAnsiTheme="minorHAnsi" w:cstheme="minorHAnsi"/>
          <w:lang w:eastAsia="en-IN"/>
        </w:rPr>
        <w:t>added</w:t>
      </w:r>
      <w:r w:rsidRPr="00FA27B1">
        <w:rPr>
          <w:rFonts w:asciiTheme="minorHAnsi" w:eastAsia="Times New Roman" w:hAnsiTheme="minorHAnsi" w:cstheme="minorHAnsi"/>
          <w:b/>
          <w:bCs/>
          <w:lang w:eastAsia="en-IN"/>
        </w:rPr>
        <w:t>,</w:t>
      </w:r>
      <w:r w:rsidRPr="00FA27B1">
        <w:rPr>
          <w:rFonts w:asciiTheme="minorHAnsi" w:eastAsia="Times New Roman" w:hAnsiTheme="minorHAnsi" w:cstheme="minorHAnsi"/>
          <w:lang w:eastAsia="en-IN"/>
        </w:rPr>
        <w:t xml:space="preserve"> “Aligning with a global leader like </w:t>
      </w:r>
      <w:proofErr w:type="spellStart"/>
      <w:r w:rsidRPr="00FA27B1">
        <w:rPr>
          <w:rFonts w:asciiTheme="minorHAnsi" w:eastAsia="Times New Roman" w:hAnsiTheme="minorHAnsi" w:cstheme="minorHAnsi"/>
          <w:lang w:eastAsia="en-IN"/>
        </w:rPr>
        <w:t>LONGi</w:t>
      </w:r>
      <w:proofErr w:type="spellEnd"/>
      <w:r w:rsidRPr="00FA27B1">
        <w:rPr>
          <w:rFonts w:asciiTheme="minorHAnsi" w:eastAsia="Times New Roman" w:hAnsiTheme="minorHAnsi" w:cstheme="minorHAnsi"/>
          <w:lang w:eastAsia="en-IN"/>
        </w:rPr>
        <w:t xml:space="preserve"> allows us to accelerate our journey toward manufacturing excellence. This partnership will help ensure that the Indian market continues to have access to advanced and competitive solar technologies.”</w:t>
      </w:r>
    </w:p>
    <w:p w14:paraId="534C2B93" w14:textId="77777777"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b/>
          <w:bCs/>
          <w:lang w:eastAsia="en-IN"/>
        </w:rPr>
        <w:t xml:space="preserve">Mr. Frank Zhao, President of </w:t>
      </w:r>
      <w:proofErr w:type="spellStart"/>
      <w:r w:rsidRPr="00FA27B1">
        <w:rPr>
          <w:rFonts w:asciiTheme="minorHAnsi" w:eastAsia="Times New Roman" w:hAnsiTheme="minorHAnsi" w:cstheme="minorHAnsi"/>
          <w:b/>
          <w:bCs/>
          <w:lang w:eastAsia="en-IN"/>
        </w:rPr>
        <w:t>LONGi</w:t>
      </w:r>
      <w:proofErr w:type="spellEnd"/>
      <w:r w:rsidRPr="00FA27B1">
        <w:rPr>
          <w:rFonts w:asciiTheme="minorHAnsi" w:eastAsia="Times New Roman" w:hAnsiTheme="minorHAnsi" w:cstheme="minorHAnsi"/>
          <w:b/>
          <w:bCs/>
          <w:lang w:eastAsia="en-IN"/>
        </w:rPr>
        <w:t xml:space="preserve"> APAC,</w:t>
      </w:r>
      <w:r w:rsidRPr="00FA27B1">
        <w:rPr>
          <w:rFonts w:asciiTheme="minorHAnsi" w:eastAsia="Times New Roman" w:hAnsiTheme="minorHAnsi" w:cstheme="minorHAnsi"/>
          <w:lang w:eastAsia="en-IN"/>
        </w:rPr>
        <w:t xml:space="preserve"> said, “</w:t>
      </w:r>
      <w:proofErr w:type="spellStart"/>
      <w:r w:rsidRPr="00FA27B1">
        <w:rPr>
          <w:rFonts w:asciiTheme="minorHAnsi" w:eastAsia="Times New Roman" w:hAnsiTheme="minorHAnsi" w:cstheme="minorHAnsi"/>
          <w:lang w:eastAsia="en-IN"/>
        </w:rPr>
        <w:t>LONGi</w:t>
      </w:r>
      <w:proofErr w:type="spellEnd"/>
      <w:r w:rsidRPr="00FA27B1">
        <w:rPr>
          <w:rFonts w:asciiTheme="minorHAnsi" w:eastAsia="Times New Roman" w:hAnsiTheme="minorHAnsi" w:cstheme="minorHAnsi"/>
          <w:lang w:eastAsia="en-IN"/>
        </w:rPr>
        <w:t xml:space="preserve"> is dedicated to working with multiple partners across India to drive clean energy adoption. Through knowledge sharing and technical cooperation, we aim to support the growth of high-quality solar manufacturing in the region, in line with India’s renewable energy goals.”</w:t>
      </w:r>
    </w:p>
    <w:p w14:paraId="2C3083B1" w14:textId="77777777"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lang w:eastAsia="en-IN"/>
        </w:rPr>
        <w:lastRenderedPageBreak/>
        <w:t xml:space="preserve">Sharing the sentiment, </w:t>
      </w:r>
      <w:r w:rsidRPr="00FA27B1">
        <w:rPr>
          <w:rFonts w:asciiTheme="minorHAnsi" w:eastAsia="Times New Roman" w:hAnsiTheme="minorHAnsi" w:cstheme="minorHAnsi"/>
          <w:b/>
          <w:bCs/>
          <w:lang w:eastAsia="en-IN"/>
        </w:rPr>
        <w:t xml:space="preserve">Mr. Pablo, Head of Strategic Accounts, India &amp; APAC, </w:t>
      </w:r>
      <w:proofErr w:type="spellStart"/>
      <w:r w:rsidRPr="00FA27B1">
        <w:rPr>
          <w:rFonts w:asciiTheme="minorHAnsi" w:eastAsia="Times New Roman" w:hAnsiTheme="minorHAnsi" w:cstheme="minorHAnsi"/>
          <w:b/>
          <w:bCs/>
          <w:lang w:eastAsia="en-IN"/>
        </w:rPr>
        <w:t>LONGi</w:t>
      </w:r>
      <w:proofErr w:type="spellEnd"/>
      <w:r w:rsidRPr="00FA27B1">
        <w:rPr>
          <w:rFonts w:asciiTheme="minorHAnsi" w:eastAsia="Times New Roman" w:hAnsiTheme="minorHAnsi" w:cstheme="minorHAnsi"/>
          <w:b/>
          <w:bCs/>
          <w:lang w:eastAsia="en-IN"/>
        </w:rPr>
        <w:t>,</w:t>
      </w:r>
      <w:r w:rsidRPr="00FA27B1">
        <w:rPr>
          <w:rFonts w:asciiTheme="minorHAnsi" w:eastAsia="Times New Roman" w:hAnsiTheme="minorHAnsi" w:cstheme="minorHAnsi"/>
          <w:lang w:eastAsia="en-IN"/>
        </w:rPr>
        <w:t xml:space="preserve"> added, “This partnership is an essential step in accelerating India's renewable energy goals and delivering sustainable, impactful solutions.”</w:t>
      </w:r>
    </w:p>
    <w:p w14:paraId="4EB06D38" w14:textId="615AE8F0" w:rsidR="003940B8" w:rsidRDefault="003940B8" w:rsidP="00FA27B1">
      <w:pPr>
        <w:spacing w:before="100" w:beforeAutospacing="1" w:after="100" w:afterAutospacing="1"/>
        <w:rPr>
          <w:rFonts w:asciiTheme="minorHAnsi" w:eastAsia="Times New Roman" w:hAnsiTheme="minorHAnsi" w:cstheme="minorHAnsi"/>
          <w:lang w:eastAsia="en-IN"/>
        </w:rPr>
      </w:pPr>
    </w:p>
    <w:p w14:paraId="262B7CE2" w14:textId="77777777" w:rsidR="003940B8" w:rsidRPr="003940B8" w:rsidRDefault="003940B8" w:rsidP="003940B8">
      <w:pPr>
        <w:pStyle w:val="v1msonormal1"/>
        <w:spacing w:before="100" w:beforeAutospacing="1" w:after="100" w:afterAutospacing="1"/>
        <w:rPr>
          <w:rFonts w:asciiTheme="minorHAnsi" w:hAnsiTheme="minorHAnsi" w:cstheme="minorHAnsi"/>
        </w:rPr>
      </w:pPr>
      <w:r w:rsidRPr="003940B8">
        <w:rPr>
          <w:rStyle w:val="Emphasis"/>
          <w:rFonts w:asciiTheme="minorHAnsi" w:hAnsiTheme="minorHAnsi" w:cstheme="minorHAnsi"/>
          <w:b/>
          <w:bCs/>
          <w:u w:val="single"/>
          <w:lang w:eastAsia="en-IN"/>
        </w:rPr>
        <w:t>About Inox Clean Energy Limited</w:t>
      </w:r>
    </w:p>
    <w:p w14:paraId="6D62C403" w14:textId="77777777" w:rsidR="003940B8" w:rsidRPr="003940B8" w:rsidRDefault="003940B8" w:rsidP="003940B8">
      <w:pPr>
        <w:pStyle w:val="v1msonormal1"/>
        <w:spacing w:before="100" w:beforeAutospacing="1" w:after="100" w:afterAutospacing="1"/>
        <w:rPr>
          <w:rFonts w:asciiTheme="minorHAnsi" w:hAnsiTheme="minorHAnsi" w:cstheme="minorHAnsi"/>
        </w:rPr>
      </w:pPr>
      <w:r w:rsidRPr="003940B8">
        <w:rPr>
          <w:rFonts w:asciiTheme="minorHAnsi" w:hAnsiTheme="minorHAnsi" w:cstheme="minorHAnsi"/>
          <w:lang w:eastAsia="en-IN"/>
        </w:rPr>
        <w:t>Inox Clean, is a part of the INOXGFL Group, and is the holding company for the Renewables IPP (Independent Power Producer) business held under Inox Neo Energies Limited and solar manufacturing business under Inox Solar Limited.  Inox Clean aims to create an integrated renewables ecosystem, wherein it will manufacture solar modules and cells which will be partly used to set up captive hybrid renewable power generation capacities as well as sold to third party customers. Post commissioning, the power generated will be sold to captive / 3rd parties / exchanges / C&amp;I customers. The company aims to tap into the synergies and expertise within the INOXGFL Group and offer an integrated renewables play.</w:t>
      </w:r>
    </w:p>
    <w:p w14:paraId="0106A619" w14:textId="77777777" w:rsidR="003940B8" w:rsidRPr="003940B8" w:rsidRDefault="003940B8" w:rsidP="003940B8">
      <w:pPr>
        <w:pStyle w:val="v1msonormal1"/>
        <w:spacing w:before="100" w:beforeAutospacing="1" w:after="100" w:afterAutospacing="1"/>
        <w:rPr>
          <w:rFonts w:asciiTheme="minorHAnsi" w:hAnsiTheme="minorHAnsi" w:cstheme="minorHAnsi"/>
        </w:rPr>
      </w:pPr>
      <w:r w:rsidRPr="003940B8">
        <w:rPr>
          <w:rFonts w:asciiTheme="minorHAnsi" w:hAnsiTheme="minorHAnsi" w:cstheme="minorHAnsi"/>
          <w:lang w:eastAsia="en-IN"/>
        </w:rPr>
        <w:t> </w:t>
      </w:r>
    </w:p>
    <w:p w14:paraId="771EBC0F" w14:textId="77777777" w:rsidR="003940B8" w:rsidRPr="003940B8" w:rsidRDefault="003940B8" w:rsidP="003940B8">
      <w:pPr>
        <w:pStyle w:val="Default"/>
        <w:spacing w:line="276" w:lineRule="auto"/>
        <w:jc w:val="both"/>
        <w:rPr>
          <w:rFonts w:asciiTheme="minorHAnsi" w:hAnsiTheme="minorHAnsi" w:cstheme="minorHAnsi"/>
          <w:sz w:val="22"/>
          <w:szCs w:val="22"/>
        </w:rPr>
      </w:pPr>
      <w:r w:rsidRPr="003940B8">
        <w:rPr>
          <w:rStyle w:val="Emphasis"/>
          <w:rFonts w:asciiTheme="minorHAnsi" w:hAnsiTheme="minorHAnsi" w:cstheme="minorHAnsi"/>
          <w:b/>
          <w:bCs/>
          <w:color w:val="auto"/>
          <w:sz w:val="22"/>
          <w:szCs w:val="22"/>
          <w:u w:val="single"/>
          <w:lang w:eastAsia="en-IN"/>
        </w:rPr>
        <w:t xml:space="preserve">About INOXGFL Group: </w:t>
      </w:r>
    </w:p>
    <w:p w14:paraId="71218761" w14:textId="77777777" w:rsidR="003940B8" w:rsidRPr="003940B8" w:rsidRDefault="003940B8" w:rsidP="003940B8">
      <w:pPr>
        <w:pStyle w:val="Default"/>
        <w:spacing w:line="276" w:lineRule="auto"/>
        <w:jc w:val="both"/>
        <w:rPr>
          <w:rFonts w:asciiTheme="minorHAnsi" w:hAnsiTheme="minorHAnsi" w:cstheme="minorHAnsi"/>
          <w:sz w:val="22"/>
          <w:szCs w:val="22"/>
        </w:rPr>
      </w:pPr>
      <w:r w:rsidRPr="003940B8">
        <w:rPr>
          <w:rFonts w:asciiTheme="minorHAnsi" w:hAnsiTheme="minorHAnsi" w:cstheme="minorHAnsi"/>
          <w:color w:val="auto"/>
          <w:sz w:val="22"/>
          <w:szCs w:val="22"/>
          <w:lang w:eastAsia="en-IN"/>
        </w:rPr>
        <w:t> </w:t>
      </w:r>
    </w:p>
    <w:p w14:paraId="2E538A40" w14:textId="77777777" w:rsidR="003940B8" w:rsidRPr="003940B8" w:rsidRDefault="003940B8" w:rsidP="003940B8">
      <w:pPr>
        <w:pStyle w:val="Default"/>
        <w:spacing w:line="276" w:lineRule="auto"/>
        <w:jc w:val="both"/>
        <w:rPr>
          <w:rFonts w:asciiTheme="minorHAnsi" w:hAnsiTheme="minorHAnsi" w:cstheme="minorHAnsi"/>
          <w:sz w:val="22"/>
          <w:szCs w:val="22"/>
        </w:rPr>
      </w:pPr>
      <w:r w:rsidRPr="003940B8">
        <w:rPr>
          <w:rFonts w:asciiTheme="minorHAnsi" w:hAnsiTheme="minorHAnsi" w:cstheme="minorHAnsi"/>
          <w:color w:val="auto"/>
          <w:sz w:val="22"/>
          <w:szCs w:val="22"/>
          <w:lang w:eastAsia="en-IN"/>
        </w:rPr>
        <w:t>INOXGFL Group (“Group”), with a legacy of over 90 years, is one of the leading business groups in India. The Group’s operations span across diversified business segments comprising of fluoropolymers, fluorochemicals, battery materials, wind &amp; solar manufacturing and project development as well as renewable power generation. It is well- positioned to deliver renewable energy solutions tailored to diverse customer demands. The Group has three listed entities - Gujarat Fluorochemicals Limited (GFL), Inox Wind Limited, and Inox Green Energy Services Limited. Additionally, through Inox Clean Energy Ltd., the Group has entered into solar manufacturing business under Inox Solar Limited and is expanding its renewable power generation business through Inox Neo Energies Private Limited. The Group's performance and leadership are reflected in its diverse portfolio of products, global presence, and impactful corporate social responsibility initiatives. With an aim to drive progress and contribute to a greener future, the INOXGFL Group continues to contribute to India’s renewable growth story.</w:t>
      </w:r>
    </w:p>
    <w:p w14:paraId="084F9C6C" w14:textId="6B93075F" w:rsidR="00FA27B1" w:rsidRPr="003940B8" w:rsidRDefault="003940B8" w:rsidP="003940B8">
      <w:pPr>
        <w:pStyle w:val="v1msonormal1"/>
        <w:rPr>
          <w:rFonts w:asciiTheme="minorHAnsi" w:hAnsiTheme="minorHAnsi" w:cstheme="minorHAnsi"/>
        </w:rPr>
      </w:pPr>
      <w:r w:rsidRPr="003940B8">
        <w:rPr>
          <w:rFonts w:asciiTheme="minorHAnsi" w:hAnsiTheme="minorHAnsi" w:cstheme="minorHAnsi"/>
          <w:lang w:eastAsia="en-IN"/>
        </w:rPr>
        <w:t> </w:t>
      </w:r>
    </w:p>
    <w:p w14:paraId="0B800A87" w14:textId="7E9A80E4" w:rsidR="00FA27B1" w:rsidRPr="003940B8" w:rsidRDefault="00FA27B1" w:rsidP="00FA27B1">
      <w:pPr>
        <w:spacing w:before="100" w:beforeAutospacing="1" w:after="100" w:afterAutospacing="1"/>
        <w:rPr>
          <w:rFonts w:asciiTheme="minorHAnsi" w:eastAsia="Times New Roman" w:hAnsiTheme="minorHAnsi" w:cstheme="minorHAnsi"/>
          <w:u w:val="single"/>
          <w:lang w:eastAsia="en-IN"/>
        </w:rPr>
      </w:pPr>
      <w:r w:rsidRPr="003940B8">
        <w:rPr>
          <w:rFonts w:asciiTheme="minorHAnsi" w:eastAsia="Times New Roman" w:hAnsiTheme="minorHAnsi" w:cstheme="minorHAnsi"/>
          <w:b/>
          <w:bCs/>
          <w:u w:val="single"/>
          <w:lang w:eastAsia="en-IN"/>
        </w:rPr>
        <w:t>Disclaimer</w:t>
      </w:r>
    </w:p>
    <w:p w14:paraId="4A209623" w14:textId="77777777"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lang w:eastAsia="en-IN"/>
        </w:rPr>
        <w:t xml:space="preserve">Inox Clean Energy Limited is proposing, subject to receipt of requisite approvals, market conditions, and other considerations, an initial public offering of its equity shares and has filed a Pre-filed Draft Red Herring Prospectus dated July 8, 2025 (“PDRHP”) with the Securities and Exchange Board of India (“SEBI”). The PDRHP is available on our website at </w:t>
      </w:r>
      <w:hyperlink r:id="rId6" w:history="1">
        <w:r w:rsidRPr="00FA27B1">
          <w:rPr>
            <w:rFonts w:asciiTheme="minorHAnsi" w:eastAsia="Times New Roman" w:hAnsiTheme="minorHAnsi" w:cstheme="minorHAnsi"/>
            <w:color w:val="0000FF"/>
            <w:u w:val="single"/>
            <w:lang w:eastAsia="en-IN"/>
          </w:rPr>
          <w:t>https://inoxclean.com</w:t>
        </w:r>
      </w:hyperlink>
      <w:r w:rsidRPr="00FA27B1">
        <w:rPr>
          <w:rFonts w:asciiTheme="minorHAnsi" w:eastAsia="Times New Roman" w:hAnsiTheme="minorHAnsi" w:cstheme="minorHAnsi"/>
          <w:lang w:eastAsia="en-IN"/>
        </w:rPr>
        <w:t xml:space="preserve"> and on the websites of SEBI at </w:t>
      </w:r>
      <w:hyperlink r:id="rId7" w:history="1">
        <w:r w:rsidRPr="00FA27B1">
          <w:rPr>
            <w:rFonts w:asciiTheme="minorHAnsi" w:eastAsia="Times New Roman" w:hAnsiTheme="minorHAnsi" w:cstheme="minorHAnsi"/>
            <w:color w:val="0000FF"/>
            <w:u w:val="single"/>
            <w:lang w:eastAsia="en-IN"/>
          </w:rPr>
          <w:t>www.sebi.gov.in</w:t>
        </w:r>
      </w:hyperlink>
      <w:r w:rsidRPr="00FA27B1">
        <w:rPr>
          <w:rFonts w:asciiTheme="minorHAnsi" w:eastAsia="Times New Roman" w:hAnsiTheme="minorHAnsi" w:cstheme="minorHAnsi"/>
          <w:lang w:eastAsia="en-IN"/>
        </w:rPr>
        <w:t xml:space="preserve">, </w:t>
      </w:r>
      <w:proofErr w:type="spellStart"/>
      <w:r w:rsidRPr="00FA27B1">
        <w:rPr>
          <w:rFonts w:asciiTheme="minorHAnsi" w:eastAsia="Times New Roman" w:hAnsiTheme="minorHAnsi" w:cstheme="minorHAnsi"/>
          <w:lang w:eastAsia="en-IN"/>
        </w:rPr>
        <w:t>Nuvama</w:t>
      </w:r>
      <w:proofErr w:type="spellEnd"/>
      <w:r w:rsidRPr="00FA27B1">
        <w:rPr>
          <w:rFonts w:asciiTheme="minorHAnsi" w:eastAsia="Times New Roman" w:hAnsiTheme="minorHAnsi" w:cstheme="minorHAnsi"/>
          <w:lang w:eastAsia="en-IN"/>
        </w:rPr>
        <w:t xml:space="preserve"> Wealth Management Limited at </w:t>
      </w:r>
      <w:hyperlink r:id="rId8" w:history="1">
        <w:r w:rsidRPr="00FA27B1">
          <w:rPr>
            <w:rFonts w:asciiTheme="minorHAnsi" w:eastAsia="Times New Roman" w:hAnsiTheme="minorHAnsi" w:cstheme="minorHAnsi"/>
            <w:color w:val="0000FF"/>
            <w:u w:val="single"/>
            <w:lang w:eastAsia="en-IN"/>
          </w:rPr>
          <w:t>www.nuvama.com</w:t>
        </w:r>
      </w:hyperlink>
      <w:r w:rsidRPr="00FA27B1">
        <w:rPr>
          <w:rFonts w:asciiTheme="minorHAnsi" w:eastAsia="Times New Roman" w:hAnsiTheme="minorHAnsi" w:cstheme="minorHAnsi"/>
          <w:lang w:eastAsia="en-IN"/>
        </w:rPr>
        <w:t xml:space="preserve">, IIFL Capital Services Limited at </w:t>
      </w:r>
      <w:hyperlink r:id="rId9" w:history="1">
        <w:r w:rsidRPr="00FA27B1">
          <w:rPr>
            <w:rFonts w:asciiTheme="minorHAnsi" w:eastAsia="Times New Roman" w:hAnsiTheme="minorHAnsi" w:cstheme="minorHAnsi"/>
            <w:color w:val="0000FF"/>
            <w:u w:val="single"/>
            <w:lang w:eastAsia="en-IN"/>
          </w:rPr>
          <w:t>www.iiflcap.com</w:t>
        </w:r>
      </w:hyperlink>
      <w:r w:rsidRPr="00FA27B1">
        <w:rPr>
          <w:rFonts w:asciiTheme="minorHAnsi" w:eastAsia="Times New Roman" w:hAnsiTheme="minorHAnsi" w:cstheme="minorHAnsi"/>
          <w:lang w:eastAsia="en-IN"/>
        </w:rPr>
        <w:t xml:space="preserve">, ICICI Securities Limited at </w:t>
      </w:r>
      <w:hyperlink r:id="rId10" w:history="1">
        <w:r w:rsidRPr="00FA27B1">
          <w:rPr>
            <w:rFonts w:asciiTheme="minorHAnsi" w:eastAsia="Times New Roman" w:hAnsiTheme="minorHAnsi" w:cstheme="minorHAnsi"/>
            <w:color w:val="0000FF"/>
            <w:u w:val="single"/>
            <w:lang w:eastAsia="en-IN"/>
          </w:rPr>
          <w:t>www.icicisecurities.com</w:t>
        </w:r>
      </w:hyperlink>
      <w:r w:rsidRPr="00FA27B1">
        <w:rPr>
          <w:rFonts w:asciiTheme="minorHAnsi" w:eastAsia="Times New Roman" w:hAnsiTheme="minorHAnsi" w:cstheme="minorHAnsi"/>
          <w:lang w:eastAsia="en-IN"/>
        </w:rPr>
        <w:t xml:space="preserve">, JM Financial Limited at </w:t>
      </w:r>
      <w:hyperlink r:id="rId11" w:history="1">
        <w:r w:rsidRPr="00FA27B1">
          <w:rPr>
            <w:rFonts w:asciiTheme="minorHAnsi" w:eastAsia="Times New Roman" w:hAnsiTheme="minorHAnsi" w:cstheme="minorHAnsi"/>
            <w:color w:val="0000FF"/>
            <w:u w:val="single"/>
            <w:lang w:eastAsia="en-IN"/>
          </w:rPr>
          <w:t>www.jmfl.com</w:t>
        </w:r>
      </w:hyperlink>
      <w:r w:rsidRPr="00FA27B1">
        <w:rPr>
          <w:rFonts w:asciiTheme="minorHAnsi" w:eastAsia="Times New Roman" w:hAnsiTheme="minorHAnsi" w:cstheme="minorHAnsi"/>
          <w:lang w:eastAsia="en-IN"/>
        </w:rPr>
        <w:t xml:space="preserve">, and Motilal </w:t>
      </w:r>
      <w:proofErr w:type="spellStart"/>
      <w:r w:rsidRPr="00FA27B1">
        <w:rPr>
          <w:rFonts w:asciiTheme="minorHAnsi" w:eastAsia="Times New Roman" w:hAnsiTheme="minorHAnsi" w:cstheme="minorHAnsi"/>
          <w:lang w:eastAsia="en-IN"/>
        </w:rPr>
        <w:t>Oswal</w:t>
      </w:r>
      <w:proofErr w:type="spellEnd"/>
      <w:r w:rsidRPr="00FA27B1">
        <w:rPr>
          <w:rFonts w:asciiTheme="minorHAnsi" w:eastAsia="Times New Roman" w:hAnsiTheme="minorHAnsi" w:cstheme="minorHAnsi"/>
          <w:lang w:eastAsia="en-IN"/>
        </w:rPr>
        <w:t xml:space="preserve"> Investment Advisors Limited at </w:t>
      </w:r>
      <w:hyperlink r:id="rId12" w:history="1">
        <w:r w:rsidRPr="00FA27B1">
          <w:rPr>
            <w:rFonts w:asciiTheme="minorHAnsi" w:eastAsia="Times New Roman" w:hAnsiTheme="minorHAnsi" w:cstheme="minorHAnsi"/>
            <w:color w:val="0000FF"/>
            <w:u w:val="single"/>
            <w:lang w:eastAsia="en-IN"/>
          </w:rPr>
          <w:t>www.motilaloswalgroup.com</w:t>
        </w:r>
      </w:hyperlink>
      <w:r w:rsidRPr="00FA27B1">
        <w:rPr>
          <w:rFonts w:asciiTheme="minorHAnsi" w:eastAsia="Times New Roman" w:hAnsiTheme="minorHAnsi" w:cstheme="minorHAnsi"/>
          <w:lang w:eastAsia="en-IN"/>
        </w:rPr>
        <w:t xml:space="preserve">, as well as on the websites of the stock exchanges at </w:t>
      </w:r>
      <w:hyperlink r:id="rId13" w:history="1">
        <w:r w:rsidRPr="00FA27B1">
          <w:rPr>
            <w:rFonts w:asciiTheme="minorHAnsi" w:eastAsia="Times New Roman" w:hAnsiTheme="minorHAnsi" w:cstheme="minorHAnsi"/>
            <w:color w:val="0000FF"/>
            <w:u w:val="single"/>
            <w:lang w:eastAsia="en-IN"/>
          </w:rPr>
          <w:t>www.nseindia.com</w:t>
        </w:r>
      </w:hyperlink>
      <w:r w:rsidRPr="00FA27B1">
        <w:rPr>
          <w:rFonts w:asciiTheme="minorHAnsi" w:eastAsia="Times New Roman" w:hAnsiTheme="minorHAnsi" w:cstheme="minorHAnsi"/>
          <w:lang w:eastAsia="en-IN"/>
        </w:rPr>
        <w:t xml:space="preserve"> and </w:t>
      </w:r>
      <w:hyperlink r:id="rId14" w:history="1">
        <w:r w:rsidRPr="00FA27B1">
          <w:rPr>
            <w:rFonts w:asciiTheme="minorHAnsi" w:eastAsia="Times New Roman" w:hAnsiTheme="minorHAnsi" w:cstheme="minorHAnsi"/>
            <w:color w:val="0000FF"/>
            <w:u w:val="single"/>
            <w:lang w:eastAsia="en-IN"/>
          </w:rPr>
          <w:t>www.bseindia.com</w:t>
        </w:r>
      </w:hyperlink>
      <w:r w:rsidRPr="00FA27B1">
        <w:rPr>
          <w:rFonts w:asciiTheme="minorHAnsi" w:eastAsia="Times New Roman" w:hAnsiTheme="minorHAnsi" w:cstheme="minorHAnsi"/>
          <w:lang w:eastAsia="en-IN"/>
        </w:rPr>
        <w:t>.</w:t>
      </w:r>
    </w:p>
    <w:p w14:paraId="5F2CA64A" w14:textId="77777777" w:rsidR="00FA27B1" w:rsidRPr="00FA27B1" w:rsidRDefault="00FA27B1" w:rsidP="00FA27B1">
      <w:pPr>
        <w:spacing w:before="100" w:beforeAutospacing="1" w:after="100" w:afterAutospacing="1"/>
        <w:rPr>
          <w:rFonts w:asciiTheme="minorHAnsi" w:eastAsia="Times New Roman" w:hAnsiTheme="minorHAnsi" w:cstheme="minorHAnsi"/>
          <w:lang w:eastAsia="en-IN"/>
        </w:rPr>
      </w:pPr>
      <w:r w:rsidRPr="00FA27B1">
        <w:rPr>
          <w:rFonts w:asciiTheme="minorHAnsi" w:eastAsia="Times New Roman" w:hAnsiTheme="minorHAnsi" w:cstheme="minorHAnsi"/>
          <w:lang w:eastAsia="en-IN"/>
        </w:rPr>
        <w:lastRenderedPageBreak/>
        <w:t>Potential investors should note that investment in equity shares involves a high degree of risk. For further details, please refer to the Red Herring Prospectus, including the section titled “Risk Factors” of the Red Herring Prospectus, when made available. Potential investors should not rely on the PDRHP for any investment decision.</w:t>
      </w:r>
    </w:p>
    <w:p w14:paraId="59A5A67B" w14:textId="79F92668" w:rsidR="008032BA" w:rsidRPr="00FA27B1" w:rsidRDefault="008032BA" w:rsidP="00FA27B1">
      <w:pPr>
        <w:rPr>
          <w:rFonts w:asciiTheme="minorHAnsi" w:hAnsiTheme="minorHAnsi" w:cstheme="minorHAnsi"/>
        </w:rPr>
      </w:pPr>
    </w:p>
    <w:sectPr w:rsidR="008032BA" w:rsidRPr="00FA27B1">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47D45" w14:textId="77777777" w:rsidR="00B57480" w:rsidRDefault="00B57480" w:rsidP="00A36839">
      <w:r>
        <w:separator/>
      </w:r>
    </w:p>
  </w:endnote>
  <w:endnote w:type="continuationSeparator" w:id="0">
    <w:p w14:paraId="57EC4925" w14:textId="77777777" w:rsidR="00B57480" w:rsidRDefault="00B57480" w:rsidP="00A36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B9C66" w14:textId="77777777" w:rsidR="003940B8" w:rsidRDefault="00394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0C717" w14:textId="5D9EBA8E" w:rsidR="003940B8" w:rsidRDefault="003940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FEB5F" w14:textId="77777777" w:rsidR="003940B8" w:rsidRDefault="00394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66668" w14:textId="77777777" w:rsidR="00B57480" w:rsidRDefault="00B57480" w:rsidP="00A36839">
      <w:r>
        <w:separator/>
      </w:r>
    </w:p>
  </w:footnote>
  <w:footnote w:type="continuationSeparator" w:id="0">
    <w:p w14:paraId="09212956" w14:textId="77777777" w:rsidR="00B57480" w:rsidRDefault="00B57480" w:rsidP="00A368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1BC1F" w14:textId="77777777" w:rsidR="003940B8" w:rsidRDefault="003940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D67F2" w14:textId="44504D91" w:rsidR="003940B8" w:rsidRDefault="003940B8" w:rsidP="003940B8">
    <w:pPr>
      <w:pStyle w:val="NormalWeb"/>
    </w:pPr>
    <w:sdt>
      <w:sdtPr>
        <w:id w:val="-1874837138"/>
        <w:docPartObj>
          <w:docPartGallery w:val="Watermarks"/>
          <w:docPartUnique/>
        </w:docPartObj>
      </w:sdtPr>
      <w:sdtContent>
        <w:r>
          <w:rPr>
            <w:noProof/>
          </w:rPr>
          <w:pict w14:anchorId="3BB59B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MSIPWM0PowerPlusWaterMarkObject" o:spid="_x0000_s2049" type="#_x0000_t136" alt="{&quot;HashCode&quot;:-664061739,&quot;Height&quot;:841.0,&quot;Width&quot;:595.0,&quot;Placement&quot;:&quot;Header&quot;,&quot;Index&quot;:&quot;Primary&quot;,&quot;Section&quot;:1,&quot;Top&quot;:-999995.0,&quot;Left&quot;:-999995.0}" style="position:absolute;margin-left:0;margin-top:0;width:431.15pt;height:47.1pt;rotation:315;z-index:-251657216;visibility:hidden;mso-position-horizontal:center;mso-position-horizontal-relative:margin;mso-position-vertical:center;mso-position-vertical-relative:margin" o:allowincell="f" fillcolor="black" stroked="f">
              <v:textpath style="font-family:&quot;Calibri&quot;;font-size:35pt" string="Gujarat Fluorochemicals Ltd."/>
              <w10:wrap anchorx="margin" anchory="margin"/>
            </v:shape>
          </w:pict>
        </w:r>
      </w:sdtContent>
    </w:sdt>
    <w:r w:rsidRPr="003940B8">
      <w:rPr>
        <w:noProof/>
      </w:rPr>
      <w:drawing>
        <wp:inline distT="0" distB="0" distL="0" distR="0" wp14:anchorId="68DAFA11" wp14:editId="7772476A">
          <wp:extent cx="1409152" cy="62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601" cy="626473"/>
                  </a:xfrm>
                  <a:prstGeom prst="rect">
                    <a:avLst/>
                  </a:prstGeom>
                  <a:noFill/>
                  <a:ln>
                    <a:noFill/>
                  </a:ln>
                </pic:spPr>
              </pic:pic>
            </a:graphicData>
          </a:graphic>
        </wp:inline>
      </w:drawing>
    </w:r>
    <w:r>
      <w:tab/>
    </w:r>
    <w:r>
      <w:tab/>
    </w:r>
    <w:r>
      <w:tab/>
    </w:r>
    <w:r>
      <w:tab/>
    </w:r>
    <w:r>
      <w:tab/>
    </w:r>
    <w:r>
      <w:tab/>
    </w:r>
    <w:r w:rsidRPr="003940B8">
      <w:drawing>
        <wp:inline distT="0" distB="0" distL="0" distR="0" wp14:anchorId="1A8FD79E" wp14:editId="5836E350">
          <wp:extent cx="1492250" cy="4596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545312" cy="47597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B7C4" w14:textId="77777777" w:rsidR="003940B8" w:rsidRDefault="003940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480"/>
    <w:rsid w:val="00213C81"/>
    <w:rsid w:val="00224F72"/>
    <w:rsid w:val="00231A35"/>
    <w:rsid w:val="002D444E"/>
    <w:rsid w:val="0033047C"/>
    <w:rsid w:val="003940B8"/>
    <w:rsid w:val="003C6D4D"/>
    <w:rsid w:val="003E19C8"/>
    <w:rsid w:val="00416A4E"/>
    <w:rsid w:val="006A2111"/>
    <w:rsid w:val="006E1842"/>
    <w:rsid w:val="006E6AF2"/>
    <w:rsid w:val="00795B2D"/>
    <w:rsid w:val="008032BA"/>
    <w:rsid w:val="00892816"/>
    <w:rsid w:val="009B4BC5"/>
    <w:rsid w:val="009D0073"/>
    <w:rsid w:val="009E7BA1"/>
    <w:rsid w:val="00A36839"/>
    <w:rsid w:val="00A50995"/>
    <w:rsid w:val="00B32C7B"/>
    <w:rsid w:val="00B57480"/>
    <w:rsid w:val="00F02480"/>
    <w:rsid w:val="00F474AC"/>
    <w:rsid w:val="00F81E3C"/>
    <w:rsid w:val="00FA27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8EFC2F"/>
  <w15:chartTrackingRefBased/>
  <w15:docId w15:val="{50301874-D80E-492E-B3C2-B5251AC1C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83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markdown-paragraph">
    <w:name w:val="ds-markdown-paragraph"/>
    <w:basedOn w:val="Normal"/>
    <w:rsid w:val="00A36839"/>
    <w:pPr>
      <w:spacing w:before="100" w:beforeAutospacing="1" w:after="100" w:afterAutospacing="1"/>
    </w:pPr>
    <w:rPr>
      <w:rFonts w:ascii="SimSun" w:eastAsia="SimSun" w:hAnsi="SimSun"/>
      <w:sz w:val="24"/>
      <w:szCs w:val="24"/>
      <w:lang w:eastAsia="en-IN"/>
    </w:rPr>
  </w:style>
  <w:style w:type="paragraph" w:styleId="Revision">
    <w:name w:val="Revision"/>
    <w:hidden/>
    <w:uiPriority w:val="99"/>
    <w:semiHidden/>
    <w:rsid w:val="009E7BA1"/>
    <w:pPr>
      <w:spacing w:after="0" w:line="240" w:lineRule="auto"/>
    </w:pPr>
    <w:rPr>
      <w:rFonts w:ascii="Calibri" w:hAnsi="Calibri" w:cs="Calibri"/>
    </w:rPr>
  </w:style>
  <w:style w:type="paragraph" w:styleId="NormalWeb">
    <w:name w:val="Normal (Web)"/>
    <w:basedOn w:val="Normal"/>
    <w:uiPriority w:val="99"/>
    <w:unhideWhenUsed/>
    <w:rsid w:val="00FA27B1"/>
    <w:pPr>
      <w:spacing w:before="100" w:beforeAutospacing="1" w:after="100" w:afterAutospacing="1"/>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A27B1"/>
    <w:rPr>
      <w:b/>
      <w:bCs/>
    </w:rPr>
  </w:style>
  <w:style w:type="character" w:styleId="Hyperlink">
    <w:name w:val="Hyperlink"/>
    <w:basedOn w:val="DefaultParagraphFont"/>
    <w:uiPriority w:val="99"/>
    <w:semiHidden/>
    <w:unhideWhenUsed/>
    <w:rsid w:val="00FA27B1"/>
    <w:rPr>
      <w:color w:val="0000FF"/>
      <w:u w:val="single"/>
    </w:rPr>
  </w:style>
  <w:style w:type="character" w:styleId="Emphasis">
    <w:name w:val="Emphasis"/>
    <w:basedOn w:val="DefaultParagraphFont"/>
    <w:uiPriority w:val="20"/>
    <w:qFormat/>
    <w:rsid w:val="00FA27B1"/>
    <w:rPr>
      <w:i/>
      <w:iCs/>
    </w:rPr>
  </w:style>
  <w:style w:type="paragraph" w:styleId="Header">
    <w:name w:val="header"/>
    <w:basedOn w:val="Normal"/>
    <w:link w:val="HeaderChar"/>
    <w:uiPriority w:val="99"/>
    <w:unhideWhenUsed/>
    <w:rsid w:val="003940B8"/>
    <w:pPr>
      <w:tabs>
        <w:tab w:val="center" w:pos="4513"/>
        <w:tab w:val="right" w:pos="9026"/>
      </w:tabs>
    </w:pPr>
  </w:style>
  <w:style w:type="character" w:customStyle="1" w:styleId="HeaderChar">
    <w:name w:val="Header Char"/>
    <w:basedOn w:val="DefaultParagraphFont"/>
    <w:link w:val="Header"/>
    <w:uiPriority w:val="99"/>
    <w:rsid w:val="003940B8"/>
    <w:rPr>
      <w:rFonts w:ascii="Calibri" w:hAnsi="Calibri" w:cs="Calibri"/>
    </w:rPr>
  </w:style>
  <w:style w:type="paragraph" w:styleId="Footer">
    <w:name w:val="footer"/>
    <w:basedOn w:val="Normal"/>
    <w:link w:val="FooterChar"/>
    <w:uiPriority w:val="99"/>
    <w:unhideWhenUsed/>
    <w:rsid w:val="003940B8"/>
    <w:pPr>
      <w:tabs>
        <w:tab w:val="center" w:pos="4513"/>
        <w:tab w:val="right" w:pos="9026"/>
      </w:tabs>
    </w:pPr>
  </w:style>
  <w:style w:type="character" w:customStyle="1" w:styleId="FooterChar">
    <w:name w:val="Footer Char"/>
    <w:basedOn w:val="DefaultParagraphFont"/>
    <w:link w:val="Footer"/>
    <w:uiPriority w:val="99"/>
    <w:rsid w:val="003940B8"/>
    <w:rPr>
      <w:rFonts w:ascii="Calibri" w:hAnsi="Calibri" w:cs="Calibri"/>
    </w:rPr>
  </w:style>
  <w:style w:type="paragraph" w:customStyle="1" w:styleId="v1msonormal1">
    <w:name w:val="v1msonormal1"/>
    <w:basedOn w:val="Normal"/>
    <w:rsid w:val="003940B8"/>
  </w:style>
  <w:style w:type="paragraph" w:customStyle="1" w:styleId="Default">
    <w:name w:val="Default"/>
    <w:basedOn w:val="Normal"/>
    <w:uiPriority w:val="99"/>
    <w:rsid w:val="003940B8"/>
    <w:pPr>
      <w:autoSpaceDE w:val="0"/>
      <w:autoSpaceDN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18864">
      <w:bodyDiv w:val="1"/>
      <w:marLeft w:val="0"/>
      <w:marRight w:val="0"/>
      <w:marTop w:val="0"/>
      <w:marBottom w:val="0"/>
      <w:divBdr>
        <w:top w:val="none" w:sz="0" w:space="0" w:color="auto"/>
        <w:left w:val="none" w:sz="0" w:space="0" w:color="auto"/>
        <w:bottom w:val="none" w:sz="0" w:space="0" w:color="auto"/>
        <w:right w:val="none" w:sz="0" w:space="0" w:color="auto"/>
      </w:divBdr>
    </w:div>
    <w:div w:id="811485350">
      <w:bodyDiv w:val="1"/>
      <w:marLeft w:val="0"/>
      <w:marRight w:val="0"/>
      <w:marTop w:val="0"/>
      <w:marBottom w:val="0"/>
      <w:divBdr>
        <w:top w:val="none" w:sz="0" w:space="0" w:color="auto"/>
        <w:left w:val="none" w:sz="0" w:space="0" w:color="auto"/>
        <w:bottom w:val="none" w:sz="0" w:space="0" w:color="auto"/>
        <w:right w:val="none" w:sz="0" w:space="0" w:color="auto"/>
      </w:divBdr>
    </w:div>
    <w:div w:id="1489783068">
      <w:bodyDiv w:val="1"/>
      <w:marLeft w:val="0"/>
      <w:marRight w:val="0"/>
      <w:marTop w:val="0"/>
      <w:marBottom w:val="0"/>
      <w:divBdr>
        <w:top w:val="none" w:sz="0" w:space="0" w:color="auto"/>
        <w:left w:val="none" w:sz="0" w:space="0" w:color="auto"/>
        <w:bottom w:val="none" w:sz="0" w:space="0" w:color="auto"/>
        <w:right w:val="none" w:sz="0" w:space="0" w:color="auto"/>
      </w:divBdr>
    </w:div>
    <w:div w:id="1528643701">
      <w:bodyDiv w:val="1"/>
      <w:marLeft w:val="0"/>
      <w:marRight w:val="0"/>
      <w:marTop w:val="0"/>
      <w:marBottom w:val="0"/>
      <w:divBdr>
        <w:top w:val="none" w:sz="0" w:space="0" w:color="auto"/>
        <w:left w:val="none" w:sz="0" w:space="0" w:color="auto"/>
        <w:bottom w:val="none" w:sz="0" w:space="0" w:color="auto"/>
        <w:right w:val="none" w:sz="0" w:space="0" w:color="auto"/>
      </w:divBdr>
    </w:div>
    <w:div w:id="1847666698">
      <w:bodyDiv w:val="1"/>
      <w:marLeft w:val="0"/>
      <w:marRight w:val="0"/>
      <w:marTop w:val="0"/>
      <w:marBottom w:val="0"/>
      <w:divBdr>
        <w:top w:val="none" w:sz="0" w:space="0" w:color="auto"/>
        <w:left w:val="none" w:sz="0" w:space="0" w:color="auto"/>
        <w:bottom w:val="none" w:sz="0" w:space="0" w:color="auto"/>
        <w:right w:val="none" w:sz="0" w:space="0" w:color="auto"/>
      </w:divBdr>
    </w:div>
    <w:div w:id="207554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vama.com/" TargetMode="External"/><Relationship Id="rId13" Type="http://schemas.openxmlformats.org/officeDocument/2006/relationships/hyperlink" Target="https://www.nseindia.com/"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sebi.gov.in/" TargetMode="External"/><Relationship Id="rId12" Type="http://schemas.openxmlformats.org/officeDocument/2006/relationships/hyperlink" Target="https://www.motilaloswalgroup.com/"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inoxclean.com/" TargetMode="External"/><Relationship Id="rId11" Type="http://schemas.openxmlformats.org/officeDocument/2006/relationships/hyperlink" Target="https://www.jmfl.com/"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icicisecurities.com/"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iiflcap.com/" TargetMode="External"/><Relationship Id="rId14" Type="http://schemas.openxmlformats.org/officeDocument/2006/relationships/hyperlink" Target="https://www.bseindia.com/"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WatermarkTemplate</Template>
  <TotalTime>11</TotalTime>
  <Pages>3</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Sharma</dc:creator>
  <cp:keywords/>
  <dc:description/>
  <cp:lastModifiedBy>Mohit  Sharma</cp:lastModifiedBy>
  <cp:revision>4</cp:revision>
  <cp:lastPrinted>2025-10-28T11:58:00Z</cp:lastPrinted>
  <dcterms:created xsi:type="dcterms:W3CDTF">2025-10-28T12:13:00Z</dcterms:created>
  <dcterms:modified xsi:type="dcterms:W3CDTF">2025-10-29T05:18:00Z</dcterms:modified>
</cp:coreProperties>
</file>